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Проблема распределения и использования спортивных телевизионных прав в российском медиапространстве</w:t>
      </w:r>
    </w:p>
    <w:p w:rsidR="00000000" w:rsidDel="00000000" w:rsidP="00000000" w:rsidRDefault="00000000" w:rsidRPr="00000000" w14:paraId="00000002">
      <w:pP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 уже давно превратился в мощную глобальную индустрию, оказывающую значительное влияние на социальное, экономическое, культурное и политическое развитие общества. Современная индустрия спортивных медиа представляет собой глобальную систему производства, переработки и распространения спортивного контента, обороты которой составляют десятки миллиардов долларов ежегодно [1]. </w:t>
      </w:r>
      <w:r w:rsidDel="00000000" w:rsidR="00000000" w:rsidRPr="00000000">
        <w:rPr>
          <w:rFonts w:ascii="Times New Roman" w:cs="Times New Roman" w:eastAsia="Times New Roman" w:hAnsi="Times New Roman"/>
          <w:sz w:val="28"/>
          <w:szCs w:val="28"/>
          <w:rtl w:val="0"/>
        </w:rPr>
        <w:t xml:space="preserve">В освещение соревнований стала входить не только трансляция непосредственно состязаний или матча, но и антураж мероприятия. </w:t>
      </w:r>
      <w:r w:rsidDel="00000000" w:rsidR="00000000" w:rsidRPr="00000000">
        <w:rPr>
          <w:rFonts w:ascii="Times New Roman" w:cs="Times New Roman" w:eastAsia="Times New Roman" w:hAnsi="Times New Roman"/>
          <w:sz w:val="28"/>
          <w:szCs w:val="28"/>
          <w:rtl w:val="0"/>
        </w:rPr>
        <w:t xml:space="preserve">С одной стороны, все это привлекло множество зрителей к регулярному просмотру спортивных трансляций и увеличило популярность подобного контента в России, с другой — привело к появлению множества проблем с его использованием и распределением между ведущими спортивными СМИ страны.</w:t>
      </w:r>
    </w:p>
    <w:p w:rsidR="00000000" w:rsidDel="00000000" w:rsidP="00000000" w:rsidRDefault="00000000" w:rsidRPr="00000000" w14:paraId="00000003">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w:t>
      </w:r>
      <w:r w:rsidDel="00000000" w:rsidR="00000000" w:rsidRPr="00000000">
        <w:rPr>
          <w:rFonts w:ascii="Times New Roman" w:cs="Times New Roman" w:eastAsia="Times New Roman" w:hAnsi="Times New Roman"/>
          <w:sz w:val="28"/>
          <w:szCs w:val="28"/>
          <w:rtl w:val="0"/>
        </w:rPr>
        <w:t xml:space="preserve"> проблемой в распределении прав на спортивные трансляции на российском медиарынке является отсутствие единой системы регулирования этого процесса. </w:t>
      </w: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большинстве национальных законов об авторском праве вопросы спортивного вещания не затрагиваются</w:t>
      </w:r>
      <w:r w:rsidDel="00000000" w:rsidR="00000000" w:rsidRPr="00000000">
        <w:rPr>
          <w:rFonts w:ascii="Times New Roman" w:cs="Times New Roman" w:eastAsia="Times New Roman" w:hAnsi="Times New Roman"/>
          <w:sz w:val="28"/>
          <w:szCs w:val="28"/>
          <w:rtl w:val="0"/>
        </w:rPr>
        <w:t xml:space="preserve"> [2]. В Федеральном Законе «О физической культуре и спорте в Российской Федерации» правам на показ  спортивных мероприятий уделяется всего два абзаца. Из </w:t>
      </w:r>
      <w:r w:rsidDel="00000000" w:rsidR="00000000" w:rsidRPr="00000000">
        <w:rPr>
          <w:rFonts w:ascii="Times New Roman" w:cs="Times New Roman" w:eastAsia="Times New Roman" w:hAnsi="Times New Roman"/>
          <w:b w:val="1"/>
          <w:color w:val="333333"/>
          <w:sz w:val="27"/>
          <w:szCs w:val="27"/>
          <w:highlight w:val="white"/>
          <w:rtl w:val="0"/>
        </w:rPr>
        <w:t xml:space="preserve"> </w:t>
      </w:r>
      <w:r w:rsidDel="00000000" w:rsidR="00000000" w:rsidRPr="00000000">
        <w:rPr>
          <w:rFonts w:ascii="Times New Roman" w:cs="Times New Roman" w:eastAsia="Times New Roman" w:hAnsi="Times New Roman"/>
          <w:sz w:val="27"/>
          <w:szCs w:val="27"/>
          <w:highlight w:val="white"/>
          <w:rtl w:val="0"/>
        </w:rPr>
        <w:t xml:space="preserve">20-ой статьи</w:t>
      </w:r>
      <w:r w:rsidDel="00000000" w:rsidR="00000000" w:rsidRPr="00000000">
        <w:rPr>
          <w:rFonts w:ascii="Times New Roman" w:cs="Times New Roman" w:eastAsia="Times New Roman" w:hAnsi="Times New Roman"/>
          <w:color w:val="333333"/>
          <w:sz w:val="27"/>
          <w:szCs w:val="27"/>
          <w:highlight w:val="white"/>
          <w:rtl w:val="0"/>
        </w:rPr>
        <w:t xml:space="preserve"> </w:t>
      </w:r>
      <w:r w:rsidDel="00000000" w:rsidR="00000000" w:rsidRPr="00000000">
        <w:rPr>
          <w:rFonts w:ascii="Times New Roman" w:cs="Times New Roman" w:eastAsia="Times New Roman" w:hAnsi="Times New Roman"/>
          <w:sz w:val="27"/>
          <w:szCs w:val="27"/>
          <w:rtl w:val="0"/>
        </w:rPr>
        <w:t xml:space="preserve">«Организация и проведение физкультурных мероприятий, спортивных мероприятий» части 4-ой и 5-ой мы узнаем лишь о том, что</w:t>
      </w: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права на освещение соревнований посредством трансляции</w:t>
      </w:r>
      <w:r w:rsidDel="00000000" w:rsidR="00000000" w:rsidRPr="00000000">
        <w:rPr>
          <w:rFonts w:ascii="Times New Roman" w:cs="Times New Roman" w:eastAsia="Times New Roman" w:hAnsi="Times New Roman"/>
          <w:sz w:val="28"/>
          <w:szCs w:val="28"/>
          <w:rtl w:val="0"/>
        </w:rPr>
        <w:t xml:space="preserve"> принадлежат </w:t>
      </w:r>
      <w:r w:rsidDel="00000000" w:rsidR="00000000" w:rsidRPr="00000000">
        <w:rPr>
          <w:rFonts w:ascii="Times New Roman" w:cs="Times New Roman" w:eastAsia="Times New Roman" w:hAnsi="Times New Roman"/>
          <w:sz w:val="27"/>
          <w:szCs w:val="27"/>
          <w:rtl w:val="0"/>
        </w:rPr>
        <w:t xml:space="preserve">организаторам и могут быть использованы третьими лицами только на основании их разрешений.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Поэтому очень сложно отследить  регулирование и распределение прав, связанных со спортивными трансляциями.</w:t>
      </w:r>
    </w:p>
    <w:p w:rsidR="00000000" w:rsidDel="00000000" w:rsidP="00000000" w:rsidRDefault="00000000" w:rsidRPr="00000000" w14:paraId="00000004">
      <w:pPr>
        <w:spacing w:after="240" w:befor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Иллюстрирует непрозрачность рынка конфликт вокруг  прав на показ Чемпионата Европы по футболу 2024. В ноябре прошлого года российский стриминговый сервис «Окко» подал в суд на «Телеспорт Груп» из-за незаконной передачи прав на трансляцию футбольных матчей. «Окко» утверждает, что спортивное маркетинговое агентство «Телеспорт», ранее продавшая стримингу права на показ матчей Евро-2024, совершило мошеннические действия и передало такие же права холдингу «Газпром-Медиа». При этом «Окко» еще в 2021 году оплатил эксклюзивность контента на шесть лет и заплатил за это авансом.  В итоге «Матч ТВ» показал финальную стадию отбора на Чемпионат Европы. Это позволяет нам выявить еще одну, достаточно важную, проблему: еще недавно права для трансляции спорта через OTT-сервисы шли в довесок к телевизионным — примеров приобретения этих прав отдельно попросту не было [3]. </w:t>
      </w:r>
    </w:p>
    <w:p w:rsidR="00000000" w:rsidDel="00000000" w:rsidP="00000000" w:rsidRDefault="00000000" w:rsidRPr="00000000" w14:paraId="00000005">
      <w:pPr>
        <w:spacing w:after="240" w:befor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того, 2023 год, как и 2022, продемонстрировал обострение геополитического противостояния в мире. Это не только усилило неопределенность мак­роконтекста национальных медиасистем, но и обнаружило глубинные и фундаментальные процессы — зарождение нового мирового порядка. Речь идет, прежде всего, о создании в национальных медиаконтекстах новых регулирующих механизмов управления цифровой средой [4].</w:t>
      </w:r>
    </w:p>
    <w:p w:rsidR="00000000" w:rsidDel="00000000" w:rsidP="00000000" w:rsidRDefault="00000000" w:rsidRPr="00000000" w14:paraId="00000006">
      <w:pPr>
        <w:spacing w:after="240" w:befor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Наглядным примером создания новых регулирующих механизмов становится ситуация вокруг показа грядущих Олимпийских игр 2024 года в Париже. Тогда как федеральные телеканалы «Первый канал» и «Россия 1» из-за сложившейся </w:t>
      </w:r>
      <w:r w:rsidDel="00000000" w:rsidR="00000000" w:rsidRPr="00000000">
        <w:rPr>
          <w:rFonts w:ascii="Times New Roman" w:cs="Times New Roman" w:eastAsia="Times New Roman" w:hAnsi="Times New Roman"/>
          <w:color w:val="222222"/>
          <w:sz w:val="28"/>
          <w:szCs w:val="28"/>
          <w:rtl w:val="0"/>
        </w:rPr>
        <w:t xml:space="preserve">геополитической повестки </w:t>
      </w:r>
      <w:r w:rsidDel="00000000" w:rsidR="00000000" w:rsidRPr="00000000">
        <w:rPr>
          <w:rFonts w:ascii="Times New Roman" w:cs="Times New Roman" w:eastAsia="Times New Roman" w:hAnsi="Times New Roman"/>
          <w:sz w:val="28"/>
          <w:szCs w:val="28"/>
          <w:rtl w:val="0"/>
        </w:rPr>
        <w:t xml:space="preserve">от трансляции были вынуждены отказаться от трансляции, а телеканал «Матч ТВ» ждет решения Олимпийского комитета России (ОКР) относительно участия в Играх спортсменов из России, холдинг VK находится в финальной стадии переговоров по покупке прав на показ Олимпиады-2024. При этом Международный олимпийский комитет (МОК) не принял окончательного решения, предоставлять ли сигнал на Россию или нет.</w:t>
      </w:r>
    </w:p>
    <w:p w:rsidR="00000000" w:rsidDel="00000000" w:rsidP="00000000" w:rsidRDefault="00000000" w:rsidRPr="00000000" w14:paraId="00000007">
      <w:pPr>
        <w:spacing w:after="240"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Актуальная геополитическая обстановка и слабая юридическая база, составляющая основу российского медиаправа, создают для российской спортивной медиакоммуникации новые вызовы, которые требуют новых инструментов решения. Но, как показывает ситуация, сложившаяся на рынке, практически заинтересованные стороны не готовы искать пути решения проблемы — по крайней мере на данном этапе.</w:t>
      </w:r>
    </w:p>
    <w:p w:rsidR="00000000" w:rsidDel="00000000" w:rsidP="00000000" w:rsidRDefault="00000000" w:rsidRPr="00000000" w14:paraId="00000008">
      <w:pPr>
        <w:spacing w:after="240" w:before="240" w:lineRule="auto"/>
        <w:ind w:firstLine="70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Источники и литература:</w:t>
      </w:r>
    </w:p>
    <w:p w:rsidR="00000000" w:rsidDel="00000000" w:rsidP="00000000" w:rsidRDefault="00000000" w:rsidRPr="00000000" w14:paraId="00000009">
      <w:pP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Бабюк М. И. История спорта и спортивной коммуникации. М., 2018.</w:t>
      </w:r>
      <w:r w:rsidDel="00000000" w:rsidR="00000000" w:rsidRPr="00000000">
        <w:rPr>
          <w:rtl w:val="0"/>
        </w:rPr>
      </w:r>
    </w:p>
    <w:p w:rsidR="00000000" w:rsidDel="00000000" w:rsidP="00000000" w:rsidRDefault="00000000" w:rsidRPr="00000000" w14:paraId="0000000A">
      <w:pPr>
        <w:spacing w:after="240" w:before="240" w:lineRule="auto"/>
        <w:ind w:firstLine="70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color w:val="393939"/>
          <w:sz w:val="28"/>
          <w:szCs w:val="28"/>
          <w:shd w:fill="fcfcfc" w:val="clear"/>
          <w:rtl w:val="0"/>
        </w:rPr>
        <w:t xml:space="preserve">Ойра Э</w:t>
      </w:r>
      <w:r w:rsidDel="00000000" w:rsidR="00000000" w:rsidRPr="00000000">
        <w:rPr>
          <w:color w:val="393939"/>
          <w:sz w:val="28"/>
          <w:szCs w:val="28"/>
          <w:shd w:fill="fcfcfc" w:val="clear"/>
          <w:rtl w:val="0"/>
        </w:rPr>
        <w:t xml:space="preserve">. </w:t>
      </w:r>
      <w:r w:rsidDel="00000000" w:rsidR="00000000" w:rsidRPr="00000000">
        <w:rPr>
          <w:rFonts w:ascii="Times New Roman" w:cs="Times New Roman" w:eastAsia="Times New Roman" w:hAnsi="Times New Roman"/>
          <w:color w:val="222222"/>
          <w:sz w:val="28"/>
          <w:szCs w:val="28"/>
          <w:rtl w:val="0"/>
        </w:rPr>
        <w:t xml:space="preserve">Авторское право и спортивные трансляции. Взгляд из Кении. </w:t>
      </w:r>
      <w:r w:rsidDel="00000000" w:rsidR="00000000" w:rsidRPr="00000000">
        <w:rPr>
          <w:rFonts w:ascii="Times New Roman" w:cs="Times New Roman" w:eastAsia="Times New Roman" w:hAnsi="Times New Roman"/>
          <w:color w:val="222222"/>
          <w:sz w:val="28"/>
          <w:szCs w:val="28"/>
          <w:rtl w:val="0"/>
        </w:rPr>
        <w:t xml:space="preserve">Режим доступа: </w:t>
      </w:r>
      <w:hyperlink r:id="rId6">
        <w:r w:rsidDel="00000000" w:rsidR="00000000" w:rsidRPr="00000000">
          <w:rPr>
            <w:rFonts w:ascii="Times New Roman" w:cs="Times New Roman" w:eastAsia="Times New Roman" w:hAnsi="Times New Roman"/>
            <w:color w:val="1155cc"/>
            <w:sz w:val="28"/>
            <w:szCs w:val="28"/>
            <w:u w:val="single"/>
            <w:rtl w:val="0"/>
          </w:rPr>
          <w:t xml:space="preserve">https://www.wipo.int/ip-outreach/ru/ipday/2019/copyright_sports_broadcasting_kenya.html</w:t>
        </w:r>
      </w:hyperlink>
      <w:r w:rsidDel="00000000" w:rsidR="00000000" w:rsidRPr="00000000">
        <w:rPr>
          <w:rFonts w:ascii="Times New Roman" w:cs="Times New Roman" w:eastAsia="Times New Roman" w:hAnsi="Times New Roman"/>
          <w:color w:val="222222"/>
          <w:sz w:val="28"/>
          <w:szCs w:val="28"/>
          <w:rtl w:val="0"/>
        </w:rPr>
        <w:t xml:space="preserve"> (дата обращения: 10.02.2024)</w:t>
      </w:r>
    </w:p>
    <w:p w:rsidR="00000000" w:rsidDel="00000000" w:rsidP="00000000" w:rsidRDefault="00000000" w:rsidRPr="00000000" w14:paraId="0000000B">
      <w:pPr>
        <w:spacing w:after="240" w:before="240" w:lineRule="auto"/>
        <w:ind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Дерик 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Права на спортивные трансляции в ОТТ-среде. Режим доступа: </w:t>
      </w:r>
      <w:hyperlink r:id="rId7">
        <w:r w:rsidDel="00000000" w:rsidR="00000000" w:rsidRPr="00000000">
          <w:rPr>
            <w:rFonts w:ascii="Times New Roman" w:cs="Times New Roman" w:eastAsia="Times New Roman" w:hAnsi="Times New Roman"/>
            <w:color w:val="1155cc"/>
            <w:sz w:val="28"/>
            <w:szCs w:val="28"/>
            <w:u w:val="single"/>
            <w:rtl w:val="0"/>
          </w:rPr>
          <w:t xml:space="preserve">https://telesputnik.ru/materials/video-v-internete/article/prava-na-sportivnye-translyatsii-v-ott-srede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(дата обращения: 10.02.2024)</w:t>
      </w:r>
      <w:r w:rsidDel="00000000" w:rsidR="00000000" w:rsidRPr="00000000">
        <w:rPr>
          <w:rtl w:val="0"/>
        </w:rPr>
      </w:r>
    </w:p>
    <w:p w:rsidR="00000000" w:rsidDel="00000000" w:rsidP="00000000" w:rsidRDefault="00000000" w:rsidRPr="00000000" w14:paraId="0000000C">
      <w:pP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Вартанова Е. Л., Дунас Д. В. </w:t>
      </w:r>
      <w:r w:rsidDel="00000000" w:rsidR="00000000" w:rsidRPr="00000000">
        <w:rPr>
          <w:rFonts w:ascii="Times New Roman" w:cs="Times New Roman" w:eastAsia="Times New Roman" w:hAnsi="Times New Roman"/>
          <w:sz w:val="28"/>
          <w:szCs w:val="28"/>
          <w:rtl w:val="0"/>
        </w:rPr>
        <w:t xml:space="preserve">Российская медиасистема в начале 2020 гг.: вызовы эпохи неопределенности // Меди@льманах. 2022. № 6. С. 8–17.</w:t>
      </w:r>
    </w:p>
    <w:p w:rsidR="00000000" w:rsidDel="00000000" w:rsidP="00000000" w:rsidRDefault="00000000" w:rsidRPr="00000000" w14:paraId="0000000D">
      <w:pPr>
        <w:spacing w:after="240" w:before="240" w:lineRule="auto"/>
        <w:ind w:firstLine="700"/>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ipo.int/ip-outreach/ru/ipday/2019/copyright_sports_broadcasting_kenya.html" TargetMode="External"/><Relationship Id="rId7" Type="http://schemas.openxmlformats.org/officeDocument/2006/relationships/hyperlink" Target="https://telesputnik.ru/materials/video-v-internete/article/prava-na-sportivnye-translyatsii-v-ott-sr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