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jc w:val="center"/>
        <w:rPr>
          <w:rFonts w:hint="default" w:ascii="Times New Roman Bold" w:hAnsi="Times New Roman Bold" w:cs="Times New Roman Bold"/>
          <w:b/>
          <w:bCs/>
          <w:sz w:val="24"/>
          <w:szCs w:val="24"/>
          <w:lang w:val="ru-RU"/>
        </w:rPr>
      </w:pPr>
      <w:r>
        <w:rPr>
          <w:rFonts w:hint="default" w:ascii="Times New Roman Bold" w:hAnsi="Times New Roman Bold" w:cs="Times New Roman Bold"/>
          <w:b/>
          <w:bCs/>
          <w:sz w:val="24"/>
          <w:szCs w:val="24"/>
          <w:lang w:val="ru-RU"/>
        </w:rPr>
        <w:t>Специфика визуальной идентичности бренда в сфере упакованных снеков Китая</w:t>
      </w:r>
    </w:p>
    <w:p>
      <w:pPr>
        <w:adjustRightInd w:val="0"/>
        <w:snapToGrid w:val="0"/>
        <w:spacing w:line="240" w:lineRule="auto"/>
        <w:jc w:val="center"/>
        <w:rPr>
          <w:rFonts w:hint="default" w:ascii="Times New Roman Bold Italic" w:hAnsi="Times New Roman Bold Italic" w:cs="Times New Roman Bold Italic"/>
          <w:b/>
          <w:bCs/>
          <w:i/>
          <w:iCs/>
          <w:sz w:val="24"/>
          <w:szCs w:val="24"/>
          <w:lang w:val="ru-RU"/>
        </w:rPr>
      </w:pPr>
      <w:r>
        <w:rPr>
          <w:rFonts w:hint="default" w:ascii="Times New Roman Bold Italic" w:hAnsi="Times New Roman Bold Italic" w:cs="Times New Roman Bold Italic"/>
          <w:b/>
          <w:bCs/>
          <w:i/>
          <w:iCs/>
          <w:sz w:val="24"/>
          <w:szCs w:val="24"/>
          <w:lang w:val="ru-RU"/>
        </w:rPr>
        <w:t>Хуан Хаонань</w:t>
      </w:r>
    </w:p>
    <w:p>
      <w:pPr>
        <w:adjustRightInd w:val="0"/>
        <w:snapToGrid w:val="0"/>
        <w:spacing w:line="240" w:lineRule="auto"/>
        <w:jc w:val="center"/>
        <w:rPr>
          <w:rFonts w:hint="default" w:ascii="Times New Roman Italic" w:hAnsi="Times New Roman Italic" w:cs="Times New Roman Italic"/>
          <w:b w:val="0"/>
          <w:bCs w:val="0"/>
          <w:i/>
          <w:iCs/>
          <w:sz w:val="24"/>
          <w:szCs w:val="24"/>
          <w:lang w:val="ru-RU"/>
        </w:rPr>
      </w:pPr>
      <w:r>
        <w:rPr>
          <w:rFonts w:hint="default" w:ascii="Times New Roman Italic" w:hAnsi="Times New Roman Italic" w:cs="Times New Roman Italic"/>
          <w:b w:val="0"/>
          <w:bCs w:val="0"/>
          <w:i/>
          <w:iCs/>
          <w:sz w:val="24"/>
          <w:szCs w:val="24"/>
          <w:lang w:val="ru-RU"/>
        </w:rPr>
        <w:t>Аспирант</w:t>
      </w:r>
    </w:p>
    <w:p>
      <w:pPr>
        <w:adjustRightInd w:val="0"/>
        <w:snapToGrid w:val="0"/>
        <w:spacing w:line="240" w:lineRule="auto"/>
        <w:jc w:val="center"/>
        <w:rPr>
          <w:rFonts w:hint="default" w:ascii="Times New Roman Italic" w:hAnsi="Times New Roman Italic" w:eastAsia="SFRM1200" w:cs="Times New Roman Italic"/>
          <w:i/>
          <w:iCs/>
          <w:sz w:val="24"/>
          <w:szCs w:val="24"/>
        </w:rPr>
      </w:pPr>
      <w:r>
        <w:rPr>
          <w:rFonts w:hint="default" w:ascii="Times New Roman Italic" w:hAnsi="Times New Roman Italic" w:eastAsia="SFRM1200" w:cs="Times New Roman Italic"/>
          <w:i/>
          <w:iCs/>
          <w:sz w:val="24"/>
          <w:szCs w:val="24"/>
        </w:rPr>
        <w:t>Санкт-Петербургски</w:t>
      </w:r>
      <w:r>
        <w:rPr>
          <w:rFonts w:hint="default" w:ascii="Times New Roman Italic" w:hAnsi="Times New Roman Italic" w:eastAsia="SFRM1200" w:cs="Times New Roman Italic"/>
          <w:i/>
          <w:iCs/>
          <w:sz w:val="24"/>
          <w:szCs w:val="24"/>
          <w:lang w:val="ru-RU"/>
        </w:rPr>
        <w:t xml:space="preserve">й </w:t>
      </w:r>
      <w:r>
        <w:rPr>
          <w:rFonts w:hint="default" w:ascii="Times New Roman Italic" w:hAnsi="Times New Roman Italic" w:eastAsia="SFRM1200" w:cs="Times New Roman Italic"/>
          <w:i/>
          <w:iCs/>
          <w:sz w:val="24"/>
          <w:szCs w:val="24"/>
        </w:rPr>
        <w:t>государственны</w:t>
      </w:r>
      <w:r>
        <w:rPr>
          <w:rFonts w:hint="default" w:ascii="Times New Roman Italic" w:hAnsi="Times New Roman Italic" w:eastAsia="SFRM1200" w:cs="Times New Roman Italic"/>
          <w:i/>
          <w:iCs/>
          <w:sz w:val="24"/>
          <w:szCs w:val="24"/>
          <w:lang w:val="ru-RU"/>
        </w:rPr>
        <w:t xml:space="preserve">й </w:t>
      </w:r>
      <w:r>
        <w:rPr>
          <w:rFonts w:hint="default" w:ascii="Times New Roman Italic" w:hAnsi="Times New Roman Italic" w:eastAsia="SFRM1200" w:cs="Times New Roman Italic"/>
          <w:i/>
          <w:iCs/>
          <w:sz w:val="24"/>
          <w:szCs w:val="24"/>
        </w:rPr>
        <w:t>университет,</w:t>
      </w:r>
      <w:r>
        <w:rPr>
          <w:rFonts w:hint="default" w:ascii="Times New Roman Italic" w:hAnsi="Times New Roman Italic" w:eastAsia="SFRM1200" w:cs="Times New Roman Italic"/>
          <w:i/>
          <w:iCs/>
          <w:sz w:val="24"/>
          <w:szCs w:val="24"/>
          <w:lang w:val="ru-RU"/>
        </w:rPr>
        <w:t xml:space="preserve"> </w:t>
      </w:r>
      <w:r>
        <w:rPr>
          <w:rFonts w:hint="default" w:ascii="Times New Roman Italic" w:hAnsi="Times New Roman Italic" w:eastAsia="SFRM1200" w:cs="Times New Roman Italic"/>
          <w:i/>
          <w:iCs/>
          <w:sz w:val="24"/>
          <w:szCs w:val="24"/>
        </w:rPr>
        <w:t>Институт "Высшая школа журналистики и массовых коммуникац</w:t>
      </w:r>
      <w:r>
        <w:rPr>
          <w:rFonts w:hint="default" w:ascii="Times New Roman Italic" w:hAnsi="Times New Roman Italic" w:eastAsia="SFRM1200" w:cs="Times New Roman Italic"/>
          <w:i/>
          <w:iCs/>
          <w:sz w:val="24"/>
          <w:szCs w:val="24"/>
          <w:lang w:val="ru-RU"/>
        </w:rPr>
        <w:t xml:space="preserve">ий </w:t>
      </w:r>
      <w:r>
        <w:rPr>
          <w:rFonts w:hint="default" w:ascii="Times New Roman Italic" w:hAnsi="Times New Roman Italic" w:eastAsia="SFRM1200" w:cs="Times New Roman Italic"/>
          <w:i/>
          <w:iCs/>
          <w:sz w:val="24"/>
          <w:szCs w:val="24"/>
        </w:rPr>
        <w:t xml:space="preserve">Кафедра </w:t>
      </w:r>
      <w:r>
        <w:rPr>
          <w:rFonts w:hint="default" w:ascii="Times New Roman Italic" w:hAnsi="Times New Roman Italic" w:eastAsia="SFRM1200" w:cs="Times New Roman Italic"/>
          <w:i/>
          <w:iCs/>
          <w:sz w:val="24"/>
          <w:szCs w:val="24"/>
          <w:lang w:val="ru-RU"/>
        </w:rPr>
        <w:t>рекламы</w:t>
      </w:r>
      <w:r>
        <w:rPr>
          <w:rFonts w:hint="default" w:ascii="Times New Roman Italic" w:hAnsi="Times New Roman Italic" w:eastAsia="SFRM1200" w:cs="Times New Roman Italic"/>
          <w:i/>
          <w:iCs/>
          <w:sz w:val="24"/>
          <w:szCs w:val="24"/>
        </w:rPr>
        <w:t>, Санкт-Петербург, Россия</w:t>
      </w:r>
    </w:p>
    <w:p>
      <w:pPr>
        <w:adjustRightInd w:val="0"/>
        <w:snapToGrid w:val="0"/>
        <w:spacing w:line="240" w:lineRule="auto"/>
        <w:jc w:val="center"/>
        <w:rPr>
          <w:rFonts w:hint="default" w:ascii="Times New Roman Italic" w:hAnsi="Times New Roman Italic" w:eastAsia="SFRM1200" w:cs="Times New Roman Italic"/>
          <w:i/>
          <w:iCs/>
          <w:sz w:val="24"/>
          <w:szCs w:val="24"/>
          <w:lang w:val="en-US"/>
        </w:rPr>
      </w:pPr>
      <w:r>
        <w:rPr>
          <w:rFonts w:hint="default" w:ascii="Times New Roman Italic" w:hAnsi="Times New Roman Italic" w:eastAsia="SFRM1200" w:cs="Times New Roman Italic"/>
          <w:i/>
          <w:iCs/>
          <w:sz w:val="24"/>
          <w:szCs w:val="24"/>
          <w:lang w:val="en-US"/>
        </w:rPr>
        <w:t>huanghn@mail.ru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397"/>
        <w:jc w:val="both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ru-RU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ru-RU"/>
        </w:rPr>
        <w:t>Зрение – важнейшая составляющая чувств человека. Когда потребители знакомятся с определенным брендом, они обычно сначала воспринимают графику визуально, формируют мышление в мозгу, а затем понимают другую информацию. И они ассоциируют бренд с похожими символами, когда видят его. Поскольку контент брендов становится все более богатым и разнообразным, качества продукции зачастую недостаточно, чтобы позволить потребителям полностью запомнить и выбрать бренд, поэтому требуется сильный дизайн визуального образа. С помощью системы визуальной идентификации пищевые бренды могут донести до потребителей культуру и индивидуальность бренда, а также отразить суть продуктов питания.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397"/>
        <w:jc w:val="both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ru-RU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ru-RU"/>
        </w:rPr>
        <w:t>С развитием экономики Китая и постоянным ростом доходов жителей закуски стали повседневной необходимостью для людей, особенно молодежи. Объем рынка закусок в Китае также продолжает расти, и закуски с различным позиционированием были дифференцированы. В то же время появилось много новых брендов закусок и брендов закусочных массового рынка.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397"/>
        <w:jc w:val="both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ru-RU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ru-RU"/>
        </w:rPr>
        <w:t>Данное исследование в основном направлено на изучение характеристик визуальной идентичности различных брендов в сфере китайских</w: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lang w:val="ru-RU"/>
        </w:rPr>
        <w:t xml:space="preserve"> упакованных</w:t>
      </w:r>
      <w:r>
        <w:rPr>
          <w:rFonts w:hint="default" w:ascii="Times New Roman Regular" w:hAnsi="Times New Roman Regular" w:cs="Times New Roman Regular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  <w:lang w:val="ru-RU"/>
        </w:rPr>
        <w:t>закусок. В этом отношении, на теоретическом уровне такие ученые, как Д. Огливи, Ф. Котлер, Д. Аккер, Д. Ульямсон и Е. В. Мурунова провели соответствующие исследования визуальной идентичности бренда с точки зрения значения бренда и представления символа бренда. Эмпирические материалы исследования основаны на наблюдении и сортировке китайских брендов снеков в пищевой индустрии на веб-сайте «</w:t>
      </w:r>
      <w:r>
        <w:rPr>
          <w:rFonts w:hint="default" w:ascii="Times New Roman Regular" w:hAnsi="Times New Roman Regular" w:cs="Times New Roman Regular"/>
          <w:sz w:val="24"/>
          <w:szCs w:val="24"/>
        </w:rPr>
        <w:t>CNPP</w:t>
      </w:r>
      <w:r>
        <w:rPr>
          <w:rFonts w:hint="default" w:ascii="Times New Roman Regular" w:hAnsi="Times New Roman Regular" w:cs="Times New Roman Regular"/>
          <w:sz w:val="24"/>
          <w:szCs w:val="24"/>
          <w:lang w:val="ru-RU"/>
        </w:rPr>
        <w:t>», включая их логотипы, веб-страницы, рекламы, упаковки, витрины и т. д. Исследования проводятся с использованием таких методов, как наблюдение, изучение отдельных примеров, контент-анализ и обзор литературы.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397"/>
        <w:jc w:val="both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ru-RU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ru-RU"/>
        </w:rPr>
        <w:t>В зависимости от каналов продаж развитие индустрии снеков в Китае можно разделить на четыре этапа: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5" w:leftChars="0" w:hanging="425" w:firstLineChars="0"/>
        <w:jc w:val="both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ru-RU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ru-RU"/>
        </w:rPr>
        <w:t>До 2000 года государство контролировало закупку и продажу товаров, а предложение было высококонцентрированным, при этом основой была розничная торговля в универмагах.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5" w:leftChars="0" w:hanging="425" w:firstLineChars="0"/>
        <w:jc w:val="both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ru-RU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ru-RU"/>
        </w:rPr>
        <w:t>В середине 1990-х годов, когда международные супермаркеты, такие как Карфур и</w:t>
      </w:r>
      <w:r>
        <w:rPr>
          <w:rFonts w:hint="default" w:ascii="Times New Roman Regular" w:hAnsi="Times New Roman Regular" w:cs="Times New Roman Regular"/>
          <w:sz w:val="24"/>
          <w:szCs w:val="24"/>
          <w:lang w:val="ru-RU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  <w:lang w:val="ru-RU"/>
        </w:rPr>
        <w:t>Уол</w:t>
      </w:r>
      <w:r>
        <w:rPr>
          <w:rFonts w:hint="default" w:ascii="Times New Roman Regular" w:hAnsi="Times New Roman Regular" w:cs="Times New Roman Regular"/>
          <w:sz w:val="24"/>
          <w:szCs w:val="24"/>
          <w:lang w:val="ru-RU"/>
        </w:rPr>
        <w:t>-март</w:t>
      </w:r>
      <w:r>
        <w:rPr>
          <w:rFonts w:hint="default" w:ascii="Times New Roman Regular" w:hAnsi="Times New Roman Regular" w:cs="Times New Roman Regular"/>
          <w:sz w:val="24"/>
          <w:szCs w:val="24"/>
          <w:lang w:val="ru-RU"/>
        </w:rPr>
        <w:t>, пришли в Китай, они заложили основу для общенациональной экспансии, благодаря своей цепочке поставок, технологиям, маркетингу, менеджменту и другим преимуществам.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5" w:leftChars="0" w:hanging="425" w:firstLineChars="0"/>
        <w:jc w:val="both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ru-RU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ru-RU"/>
        </w:rPr>
        <w:t>После 2012 года, когда дивидендный трафик электронной коммерции продолжал стремительно расти, масштаб и объем таких брендов электронной коммерции, как</w:t>
      </w:r>
      <w:r>
        <w:rPr>
          <w:rFonts w:hint="default" w:ascii="Times New Roman Regular" w:hAnsi="Times New Roman Regular" w:cs="Times New Roman Regular"/>
          <w:sz w:val="24"/>
          <w:szCs w:val="24"/>
          <w:lang w:val="ru-RU"/>
        </w:rPr>
        <w:t xml:space="preserve"> </w:t>
      </w:r>
      <w:r>
        <w:rPr>
          <w:rFonts w:hint="default" w:ascii="Times New Roman Regular" w:hAnsi="Times New Roman Regular" w:eastAsia="宋体" w:cs="Times New Roman Regular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  <w14:ligatures w14:val="standardContextual"/>
        </w:rPr>
        <w:t>Байцаовей</w:t>
      </w:r>
      <w:r>
        <w:rPr>
          <w:rFonts w:hint="default" w:ascii="Times New Roman Regular" w:hAnsi="Times New Roman Regular" w:eastAsia="宋体" w:cs="Times New Roman Regular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ru-RU" w:eastAsia="zh-CN" w:bidi="ar"/>
          <w14:ligatures w14:val="standardContextual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  <w:lang w:val="ru-RU"/>
        </w:rPr>
        <w:t>и Три белки, быстро росли.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5" w:leftChars="0" w:hanging="425" w:firstLineChars="0"/>
        <w:jc w:val="both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ru-RU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ru-RU"/>
        </w:rPr>
        <w:t>После 2020 года, затронутого эпидемией, потребители станут более чувствительными к ценам. Быстро появляются экономически эффективные сети магазинов закусочных брендов.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397"/>
        <w:jc w:val="both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ru-RU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ru-RU"/>
        </w:rPr>
        <w:t>Хотя все вышеупомянутые бренды имеют свои преимущества в отношении продуктов, каналов и цепочек поставок, дизайн</w:t>
      </w:r>
      <w:bookmarkStart w:id="0" w:name="_GoBack"/>
      <w:bookmarkEnd w:id="0"/>
      <w:r>
        <w:rPr>
          <w:rFonts w:hint="default" w:ascii="Times New Roman Regular" w:hAnsi="Times New Roman Regular" w:cs="Times New Roman Regular"/>
          <w:sz w:val="24"/>
          <w:szCs w:val="24"/>
          <w:lang w:val="ru-RU"/>
        </w:rPr>
        <w:t xml:space="preserve"> визуальной идентичности бренда в разные периоды имеет свои особенности и формирует определенный стиль, который используется до сих пор.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397"/>
        <w:jc w:val="both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ru-RU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ru-RU"/>
        </w:rPr>
        <w:t>В период продаж в супермаркетах визуальная идентичность бренда часто опирается на название бренда, тщательно разрабатывая китайский шрифт названия или используя простые цвета, такие как красный, желтый и синий, для достижения привлекательных целей. В этот период концепция визуальной идентичности бренда еще не была полностью сформирована, поэтому некоторые торговцы проектировали упаковку продукта только для выполнения функции идентификации продукта.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397"/>
        <w:jc w:val="both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ru-RU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ru-RU"/>
        </w:rPr>
        <w:t>В период существования сетевых супермаркетов, финансируемых из-за границы, относительно полная теория дизайна имиджа иностранных компаний позволила иностранным брендам однажды утвердить концепцию лучших и более продвинутых иностранных брендов в сердцах китайцев. Визуальная идентичность бренда в этот период, как правило, была проще, с использованием некоторых английских слов и символических логотипов. В рекламе и упаковке упакованных продуктов питания используется метод восстановления внешнего вида самого продукта или создания привлекательного имиджа для продвижения продукта.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397"/>
        <w:jc w:val="both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ru-RU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ru-RU"/>
        </w:rPr>
        <w:t xml:space="preserve">В эпоху электронной коммерции такие бренды, как </w:t>
      </w:r>
      <w:r>
        <w:rPr>
          <w:rFonts w:hint="default" w:ascii="Times New Roman Regular" w:hAnsi="Times New Roman Regular" w:cs="Times New Roman Regular"/>
          <w:sz w:val="24"/>
          <w:szCs w:val="24"/>
          <w:lang w:val="ru-RU"/>
        </w:rPr>
        <w:t>Три белки</w:t>
      </w:r>
      <w:r>
        <w:rPr>
          <w:rFonts w:hint="default" w:ascii="Times New Roman Regular" w:hAnsi="Times New Roman Regular" w:cs="Times New Roman Regular"/>
          <w:sz w:val="24"/>
          <w:szCs w:val="24"/>
          <w:lang w:val="ru-RU"/>
        </w:rPr>
        <w:t xml:space="preserve"> и Ежедневные орехи, сегментировали рынок здоровых закусок на основе орехов. Кроме того, компания продолжает обогащать коннотацию бренда с помощью разнообразных каналов, таких как анимация, книжки с картинками и периферийные устройства, а также с помощью рекламы, продвижения в социальных сетях, упаковки продуктов, размещения фильмов и телевизионных драм, трансграничного сотрудничества, открытия офлайн-магазинов впечатлений, онлайн- и офлайн-интеграция и т. д. Благодаря высокочастотному взаимодействию с потребителями мы можем сократить расстояние между нами и потребителями.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397"/>
        <w:jc w:val="both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ru-RU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ru-RU"/>
        </w:rPr>
        <w:t>В период омниканальных продаж на рынках более низкого уровня появились магазины снековой розницы, которые следовали успешной модели визуальной идентификации бренда в электронной коммерции и использовали яркие оформления магазинов и милые мультяшные логотипы для привлечения потребителей в магазин. В свое время они были открыты для франшиз, образуя уникальную систему визуальной идентификации в сфере закусок.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397"/>
        <w:jc w:val="both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ru-RU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ru-RU"/>
        </w:rPr>
        <w:t>Таким образом, мы видим, что бренды снеков формировались в разные периоды, и их визуальная идентичность имеет характеристики того периода. В настоящее время на рынке представлены различные бренды закусок, и их визуальные характеристики можно охарактеризовать как простые, привлекательные и анимированные.</w:t>
      </w:r>
    </w:p>
    <w:sectPr>
      <w:pgSz w:w="11906" w:h="16838"/>
      <w:pgMar w:top="1134" w:right="1361" w:bottom="1134" w:left="136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 New Roman Bold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Apple Braille Outline 6 Dot">
    <w:panose1 w:val="05000000000000000000"/>
    <w:charset w:val="00"/>
    <w:family w:val="auto"/>
    <w:pitch w:val="default"/>
    <w:sig w:usb0="80000040" w:usb1="00000000" w:usb2="0004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Times New Roman Bold Italic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Times New Roman Italic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SFRM120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C7D892"/>
    <w:multiLevelType w:val="singleLevel"/>
    <w:tmpl w:val="FDC7D892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bordersDoNotSurroundHeader w:val="0"/>
  <w:bordersDoNotSurroundFooter w:val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A4"/>
    <w:rsid w:val="002078A4"/>
    <w:rsid w:val="002B1965"/>
    <w:rsid w:val="003E3CBA"/>
    <w:rsid w:val="00667821"/>
    <w:rsid w:val="47FF42B8"/>
    <w:rsid w:val="9FAF212B"/>
    <w:rsid w:val="EF3EC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764</Words>
  <Characters>4356</Characters>
  <Lines>36</Lines>
  <Paragraphs>10</Paragraphs>
  <TotalTime>61</TotalTime>
  <ScaleCrop>false</ScaleCrop>
  <LinksUpToDate>false</LinksUpToDate>
  <CharactersWithSpaces>5110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2024-02-29T03:06:00Z</dcterms:created>
  <dc:creator>unicorn prospect</dc:creator>
  <cp:lastModifiedBy>HHn</cp:lastModifiedBy>
  <dcterms:modified xsi:type="dcterms:W3CDTF">2024-02-29T22:56:47Z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ECBC0953CD44363667D6E065A08DA0F7_42</vt:lpwstr>
  </property>
</Properties>
</file>