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283.464566929133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Effective Communication with Token Holders: Trust-Building Strategy</w:t>
      </w:r>
    </w:p>
    <w:p w:rsidR="00000000" w:rsidDel="00000000" w:rsidP="00000000" w:rsidRDefault="00000000" w:rsidRPr="00000000" w14:paraId="00000002">
      <w:pPr>
        <w:ind w:left="0" w:firstLine="283.46456692913375"/>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ind w:left="0" w:firstLine="283.46456692913375"/>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Шилина Мария Геннадьевна</w:t>
      </w:r>
    </w:p>
    <w:p w:rsidR="00000000" w:rsidDel="00000000" w:rsidP="00000000" w:rsidRDefault="00000000" w:rsidRPr="00000000" w14:paraId="00000004">
      <w:pPr>
        <w:ind w:left="0" w:firstLine="283.46456692913375"/>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Сотрудник</w:t>
      </w:r>
    </w:p>
    <w:p w:rsidR="00000000" w:rsidDel="00000000" w:rsidP="00000000" w:rsidRDefault="00000000" w:rsidRPr="00000000" w14:paraId="00000005">
      <w:pPr>
        <w:ind w:left="0" w:firstLine="283.46456692913375"/>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Сколковский институт науки и технологий, Москва, Россия</w:t>
      </w:r>
    </w:p>
    <w:p w:rsidR="00000000" w:rsidDel="00000000" w:rsidP="00000000" w:rsidRDefault="00000000" w:rsidRPr="00000000" w14:paraId="00000006">
      <w:pPr>
        <w:ind w:left="0" w:firstLine="283.46456692913375"/>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mary.shilina@gmail.com</w:t>
      </w:r>
    </w:p>
    <w:p w:rsidR="00000000" w:rsidDel="00000000" w:rsidP="00000000" w:rsidRDefault="00000000" w:rsidRPr="00000000" w14:paraId="00000007">
      <w:pPr>
        <w:ind w:left="0" w:firstLine="283.46456692913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283.46456692913375"/>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In the dynamic landscape of business and finance, effective communication stands as a cornerstone for establishing trust with token holders. As the crypto and blockchain industry continues to evolve, companies must navigate the complexities of engaging with their stakeholders to foster transparency and confidence [3, 5, 10]. </w:t>
      </w:r>
      <w:r w:rsidDel="00000000" w:rsidR="00000000" w:rsidRPr="00000000">
        <w:rPr>
          <w:rtl w:val="0"/>
        </w:rPr>
      </w:r>
    </w:p>
    <w:p w:rsidR="00000000" w:rsidDel="00000000" w:rsidP="00000000" w:rsidRDefault="00000000" w:rsidRPr="00000000" w14:paraId="00000009">
      <w:p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problem addressed in the article revolves around the challenge of establishing and maintaining effective communication with token holders in the context of decentralized platforms and blockchain-based projects. The decentralized nature of these projects, coupled with the diversity of token holders, presents unique communication challenges that need to be addressed for successful project development and long-term sustainability. </w:t>
      </w:r>
    </w:p>
    <w:p w:rsidR="00000000" w:rsidDel="00000000" w:rsidP="00000000" w:rsidRDefault="00000000" w:rsidRPr="00000000" w14:paraId="0000000A">
      <w:p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tackle the research problem, the article proposes a comprehensive trust-building strategy for effective communication with token holders. To formulate this strategy the desk research was conducted: we probed tokenholder expectations through surveys and community feedback, examined current transparency practices in project development, evaluated existing community engagement initiatives, and explored decentralized governance models for enhanced communication. The strategy encompasses a multi-faceted approach involving transparent reporting, community engagement, and proactive communication, emphasizing clear and consistent messaging to provide stakeholders with precise information on project developments. It also supports decentralized governance structures, enabling token holders to participate in decision-making, and explores innovative communication technologies like decentralized messaging platforms and blockchain-based voting systems to enhance collaboration between project teams and token holders.</w:t>
      </w:r>
    </w:p>
    <w:p w:rsidR="00000000" w:rsidDel="00000000" w:rsidP="00000000" w:rsidRDefault="00000000" w:rsidRPr="00000000" w14:paraId="0000000B">
      <w:p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trust with token holders involves employing thoughtful and strategic approaches. We propose the following key elements of a trust-building strategy: </w:t>
      </w:r>
    </w:p>
    <w:p w:rsidR="00000000" w:rsidDel="00000000" w:rsidP="00000000" w:rsidRDefault="00000000" w:rsidRPr="00000000" w14:paraId="0000000C">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Transparent Communication: Regularly share project updates, achievements, and challenges. Be transparent about the team's progress, goals, and any potential risks.  Transparent communication fosters trust and establishes a foundation for a collaborative and supportive community [1]. </w:t>
      </w:r>
    </w:p>
    <w:p w:rsidR="00000000" w:rsidDel="00000000" w:rsidP="00000000" w:rsidRDefault="00000000" w:rsidRPr="00000000" w14:paraId="0000000D">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Messaging: Maintain a consistent and clear communication style across all channels [7]. Ensure that the project's values and mission are reinforced in messaging.</w:t>
      </w:r>
    </w:p>
    <w:p w:rsidR="00000000" w:rsidDel="00000000" w:rsidP="00000000" w:rsidRDefault="00000000" w:rsidRPr="00000000" w14:paraId="0000000E">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 and Responsiveness: Be accessible to the community through various communication channels. Respond promptly to queries, concerns, and feedback, showcasing a commitment to the token holders.</w:t>
      </w:r>
    </w:p>
    <w:p w:rsidR="00000000" w:rsidDel="00000000" w:rsidP="00000000" w:rsidRDefault="00000000" w:rsidRPr="00000000" w14:paraId="0000000F">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Engagement: Foster a sense of community by organizing events, AMAs (Ask Me Anything), and forums for discussion. Actively participate in community conversations to show genuine interest and involvement.</w:t>
      </w:r>
    </w:p>
    <w:p w:rsidR="00000000" w:rsidDel="00000000" w:rsidP="00000000" w:rsidRDefault="00000000" w:rsidRPr="00000000" w14:paraId="00000010">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Initiatives: Provide educational content about the project's technology, its potential, and the broader blockchain ecosystem [4]. Empower token holders with the knowledge to make informed decisions.</w:t>
      </w:r>
    </w:p>
    <w:p w:rsidR="00000000" w:rsidDel="00000000" w:rsidP="00000000" w:rsidRDefault="00000000" w:rsidRPr="00000000" w14:paraId="00000011">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Token Utility and Value Proposition: Clearly articulate the utility of the token within the project's ecosystem. Continuously demonstrate how the project creates value for token holders in the long term.</w:t>
      </w:r>
    </w:p>
    <w:p w:rsidR="00000000" w:rsidDel="00000000" w:rsidP="00000000" w:rsidRDefault="00000000" w:rsidRPr="00000000" w14:paraId="00000012">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Governance Involvement: Implement decentralized governance mechanisms to give token holders a voice in decision-making [9]. Encourage participation in governance proposals to enhance community involvement.</w:t>
      </w:r>
    </w:p>
    <w:p w:rsidR="00000000" w:rsidDel="00000000" w:rsidP="00000000" w:rsidRDefault="00000000" w:rsidRPr="00000000" w14:paraId="00000013">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Measures: Prioritize and communicate robust security measures to protect the interests of token holders. Regularly update the community on security audits and improvements [2, 8].</w:t>
      </w:r>
    </w:p>
    <w:p w:rsidR="00000000" w:rsidDel="00000000" w:rsidP="00000000" w:rsidRDefault="00000000" w:rsidRPr="00000000" w14:paraId="00000014">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Adaptability and Learning from Feedback: Embrace feedback and adapt the project based on community input. Demonstrate a willingness to learn from mistakes and continuously improve.</w:t>
      </w:r>
    </w:p>
    <w:p w:rsidR="00000000" w:rsidDel="00000000" w:rsidP="00000000" w:rsidRDefault="00000000" w:rsidRPr="00000000" w14:paraId="00000015">
      <w:pPr>
        <w:numPr>
          <w:ilvl w:val="0"/>
          <w:numId w:val="2"/>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Long-term Vision: Clearly communicate the project's long-term vision and how it aligns with the interests of token holders [6]. Reiterate the commitment to the sustainable growth of the project over time.</w:t>
      </w:r>
    </w:p>
    <w:p w:rsidR="00000000" w:rsidDel="00000000" w:rsidP="00000000" w:rsidRDefault="00000000" w:rsidRPr="00000000" w14:paraId="00000016">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these elements of a trust-building strategy empowers blockchain projects to forge a robust connection with their token holders. Building trust is an ongoing process that requires dedication, transparency, and a genuine commitment to the well-being of the community and the success of the project. As the blockchain landscape continues to unfold, those who prioritize effective communication will undoubtedly find themselves at the forefront of building lasting and mutually beneficial partnerships with their token holders.</w:t>
      </w:r>
    </w:p>
    <w:p w:rsidR="00000000" w:rsidDel="00000000" w:rsidP="00000000" w:rsidRDefault="00000000" w:rsidRPr="00000000" w14:paraId="00000017">
      <w:pPr>
        <w:ind w:left="0" w:firstLine="283.46456692913375"/>
        <w:jc w:val="both"/>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9">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Aharoni, T., Amit-Danhi, E., Overbeck, M., Baden, C., &amp; Tenenboim-Weinblatt, K. (2023) You’d be Right to Indulge Some Skepticism: Trust-building Strategies in Future-oriented News Discourse, Journalism Studies, 24(13), 1651-1671.</w:t>
      </w:r>
      <w:r w:rsidDel="00000000" w:rsidR="00000000" w:rsidRPr="00000000">
        <w:rPr>
          <w:rtl w:val="0"/>
        </w:rPr>
      </w:r>
    </w:p>
    <w:p w:rsidR="00000000" w:rsidDel="00000000" w:rsidP="00000000" w:rsidRDefault="00000000" w:rsidRPr="00000000" w14:paraId="0000001A">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Chanias, S., Myers, M., Hess, T. (2019). Digital transformation strategy making in pre-digital organizations: The case of a financial services provider. The Journal of Strategic Information Systems, 28(1), 17-33.</w:t>
      </w:r>
    </w:p>
    <w:p w:rsidR="00000000" w:rsidDel="00000000" w:rsidP="00000000" w:rsidRDefault="00000000" w:rsidRPr="00000000" w14:paraId="0000001B">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R. (2022). Communicating Your Crypto Strategy: Staying on-brand while demonstrating sophistication. Copylab.</w:t>
      </w:r>
    </w:p>
    <w:p w:rsidR="00000000" w:rsidDel="00000000" w:rsidP="00000000" w:rsidRDefault="00000000" w:rsidRPr="00000000" w14:paraId="0000001C">
      <w:pPr>
        <w:numPr>
          <w:ilvl w:val="0"/>
          <w:numId w:val="1"/>
        </w:numPr>
        <w:spacing w:after="0" w:afterAutospacing="0"/>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 Q., Bouri, E., Roubaud, D., Kristoufek, L. (2019). Information interdependence among energy, cryptocurrency and major commodity markets. Energy Economics, 81, 1042-1055.</w:t>
      </w:r>
    </w:p>
    <w:p w:rsidR="00000000" w:rsidDel="00000000" w:rsidP="00000000" w:rsidRDefault="00000000" w:rsidRPr="00000000" w14:paraId="0000001D">
      <w:pPr>
        <w:numPr>
          <w:ilvl w:val="0"/>
          <w:numId w:val="1"/>
        </w:numPr>
        <w:spacing w:after="0" w:afterAutospacing="0" w:before="0" w:beforeAutospacing="0" w:lineRule="auto"/>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Fuoli, M., &amp; Hart, C. (2018). Trust-building strategies in corporate discourse. Discourse &amp; Society. 29(5). 514-552.</w:t>
      </w:r>
    </w:p>
    <w:p w:rsidR="00000000" w:rsidDel="00000000" w:rsidP="00000000" w:rsidRDefault="00000000" w:rsidRPr="00000000" w14:paraId="0000001E">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Malhotra, A., O’Neill, H., Stowell, P. (2022) Thinking strategically about blockchain adoption and risk mitigation. Business Horizons, 65(2), 159-171.</w:t>
      </w:r>
    </w:p>
    <w:p w:rsidR="00000000" w:rsidDel="00000000" w:rsidP="00000000" w:rsidRDefault="00000000" w:rsidRPr="00000000" w14:paraId="0000001F">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Ridge, B. (2023). </w:t>
      </w:r>
      <w:r w:rsidDel="00000000" w:rsidR="00000000" w:rsidRPr="00000000">
        <w:rPr>
          <w:rFonts w:ascii="Times New Roman" w:cs="Times New Roman" w:eastAsia="Times New Roman" w:hAnsi="Times New Roman"/>
          <w:sz w:val="24"/>
          <w:szCs w:val="24"/>
          <w:rtl w:val="0"/>
        </w:rPr>
        <w:t xml:space="preserve">Mastering Token Marketing: A Comprehensive Guide to Effective Strategies and Best Practices. Marketing.</w:t>
      </w:r>
    </w:p>
    <w:p w:rsidR="00000000" w:rsidDel="00000000" w:rsidP="00000000" w:rsidRDefault="00000000" w:rsidRPr="00000000" w14:paraId="00000020">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Shaik M., Rabbani, M., Nasef, Y., Kayani, U., Bashar, A. (2023). The dynamic volatility nexus of FinTech, innovative technology communication, and cryptocurrency indices during the crisis period. Journal of Open Innovation: Technology, Market, and Complexity, 9(3), 100129.</w:t>
      </w:r>
    </w:p>
    <w:p w:rsidR="00000000" w:rsidDel="00000000" w:rsidP="00000000" w:rsidRDefault="00000000" w:rsidRPr="00000000" w14:paraId="00000021">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Shen, D., Tong, Z., Goodell, J. (2024) Do online message boards convey cryptocurrency-specific information? International Review of Financial Analysis, 91, 102950.</w:t>
      </w:r>
    </w:p>
    <w:p w:rsidR="00000000" w:rsidDel="00000000" w:rsidP="00000000" w:rsidRDefault="00000000" w:rsidRPr="00000000" w14:paraId="00000022">
      <w:pPr>
        <w:numPr>
          <w:ilvl w:val="0"/>
          <w:numId w:val="1"/>
        </w:numPr>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Todorov, A. (2023). Cryptocurrency Technologies - Revolutionizing Communication Theories in the Crypto Industry.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