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6601" w:rsidRPr="00226601" w:rsidRDefault="00226601" w:rsidP="00226601">
      <w:pPr>
        <w:spacing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«Воинская служба – священный долг каждого османского </w:t>
      </w:r>
      <w:r w:rsidR="00102BC7">
        <w:rPr>
          <w:b/>
          <w:bCs/>
          <w:sz w:val="24"/>
        </w:rPr>
        <w:t>подданного</w:t>
      </w:r>
      <w:r>
        <w:rPr>
          <w:b/>
          <w:bCs/>
          <w:sz w:val="24"/>
        </w:rPr>
        <w:t xml:space="preserve">»: формирование механизма призыва в османскую армию в период реформ </w:t>
      </w:r>
      <w:r>
        <w:rPr>
          <w:b/>
          <w:bCs/>
          <w:sz w:val="24"/>
          <w:lang w:val="en-US"/>
        </w:rPr>
        <w:t>XIX</w:t>
      </w:r>
      <w:r>
        <w:rPr>
          <w:b/>
          <w:bCs/>
          <w:sz w:val="24"/>
        </w:rPr>
        <w:t xml:space="preserve"> в. (1826-1870 гг.)</w:t>
      </w:r>
    </w:p>
    <w:p w:rsidR="00226601" w:rsidRDefault="00226601" w:rsidP="00226601">
      <w:pPr>
        <w:spacing w:line="240" w:lineRule="auto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Суриков Кирилл Андреевич</w:t>
      </w:r>
    </w:p>
    <w:p w:rsidR="00226601" w:rsidRDefault="00226601" w:rsidP="00226601">
      <w:pPr>
        <w:spacing w:line="240" w:lineRule="auto"/>
        <w:jc w:val="center"/>
        <w:rPr>
          <w:i/>
          <w:iCs/>
          <w:sz w:val="24"/>
        </w:rPr>
      </w:pPr>
      <w:r>
        <w:rPr>
          <w:i/>
          <w:iCs/>
          <w:sz w:val="24"/>
        </w:rPr>
        <w:t>Младший научный сотрудник</w:t>
      </w:r>
    </w:p>
    <w:p w:rsidR="00226601" w:rsidRDefault="00226601" w:rsidP="00226601">
      <w:pPr>
        <w:spacing w:line="240" w:lineRule="auto"/>
        <w:jc w:val="center"/>
        <w:rPr>
          <w:i/>
          <w:iCs/>
          <w:sz w:val="24"/>
        </w:rPr>
      </w:pPr>
      <w:r>
        <w:rPr>
          <w:i/>
          <w:iCs/>
          <w:sz w:val="24"/>
        </w:rPr>
        <w:t>Институт всеобщей истории Российской Академии Наук, Москва, Россия</w:t>
      </w:r>
    </w:p>
    <w:p w:rsidR="00226601" w:rsidRDefault="00226601" w:rsidP="00226601">
      <w:pPr>
        <w:spacing w:line="240" w:lineRule="auto"/>
        <w:jc w:val="center"/>
        <w:rPr>
          <w:i/>
          <w:iCs/>
          <w:sz w:val="24"/>
        </w:rPr>
      </w:pPr>
      <w:r>
        <w:rPr>
          <w:i/>
          <w:iCs/>
          <w:sz w:val="24"/>
        </w:rPr>
        <w:t xml:space="preserve">Аспирант </w:t>
      </w:r>
      <w:r w:rsidR="00C846CA">
        <w:rPr>
          <w:i/>
          <w:iCs/>
          <w:sz w:val="24"/>
        </w:rPr>
        <w:t>2</w:t>
      </w:r>
      <w:r>
        <w:rPr>
          <w:i/>
          <w:iCs/>
          <w:sz w:val="24"/>
        </w:rPr>
        <w:t xml:space="preserve"> года обучения</w:t>
      </w:r>
    </w:p>
    <w:p w:rsidR="00226601" w:rsidRDefault="00226601" w:rsidP="00226601">
      <w:pPr>
        <w:spacing w:line="240" w:lineRule="auto"/>
        <w:jc w:val="center"/>
        <w:rPr>
          <w:i/>
          <w:iCs/>
          <w:sz w:val="24"/>
        </w:rPr>
      </w:pPr>
      <w:r>
        <w:rPr>
          <w:i/>
          <w:iCs/>
          <w:sz w:val="24"/>
        </w:rPr>
        <w:t>Московский государственный университет им. М.В. Ломоносова,</w:t>
      </w:r>
    </w:p>
    <w:p w:rsidR="00226601" w:rsidRDefault="00226601" w:rsidP="00226601">
      <w:pPr>
        <w:spacing w:line="240" w:lineRule="auto"/>
        <w:jc w:val="center"/>
        <w:rPr>
          <w:i/>
          <w:iCs/>
          <w:sz w:val="24"/>
        </w:rPr>
      </w:pPr>
      <w:r>
        <w:rPr>
          <w:i/>
          <w:iCs/>
          <w:sz w:val="24"/>
        </w:rPr>
        <w:t>Институт стран Азии и Африки, Москва, Россия</w:t>
      </w:r>
    </w:p>
    <w:p w:rsidR="00226601" w:rsidRDefault="00226601" w:rsidP="00226601">
      <w:pPr>
        <w:spacing w:line="240" w:lineRule="auto"/>
        <w:jc w:val="center"/>
        <w:rPr>
          <w:i/>
          <w:iCs/>
          <w:sz w:val="24"/>
          <w:u w:val="single"/>
          <w:lang w:val="fr-FR"/>
        </w:rPr>
      </w:pPr>
      <w:proofErr w:type="gramStart"/>
      <w:r w:rsidRPr="005F5B9F">
        <w:rPr>
          <w:i/>
          <w:iCs/>
          <w:sz w:val="24"/>
          <w:lang w:val="fr-FR"/>
        </w:rPr>
        <w:t>E-mail:</w:t>
      </w:r>
      <w:proofErr w:type="gramEnd"/>
      <w:r w:rsidRPr="005F5B9F">
        <w:rPr>
          <w:i/>
          <w:iCs/>
          <w:sz w:val="24"/>
          <w:lang w:val="fr-FR"/>
        </w:rPr>
        <w:t xml:space="preserve"> </w:t>
      </w:r>
      <w:hyperlink r:id="rId5" w:history="1">
        <w:r w:rsidRPr="00F14326">
          <w:rPr>
            <w:rStyle w:val="a9"/>
            <w:i/>
            <w:iCs/>
            <w:sz w:val="24"/>
            <w:lang w:val="fr-FR"/>
          </w:rPr>
          <w:t>k.souricoff@mail.ru</w:t>
        </w:r>
      </w:hyperlink>
    </w:p>
    <w:p w:rsidR="002D26B0" w:rsidRDefault="00226601" w:rsidP="00226601">
      <w:pPr>
        <w:spacing w:line="240" w:lineRule="auto"/>
        <w:ind w:firstLine="708"/>
        <w:rPr>
          <w:rFonts w:cs="Times New Roman"/>
          <w:sz w:val="24"/>
        </w:rPr>
      </w:pPr>
      <w:r w:rsidRPr="00B11FFC">
        <w:rPr>
          <w:rFonts w:cs="Times New Roman"/>
          <w:sz w:val="24"/>
        </w:rPr>
        <w:t xml:space="preserve">С 1826 г. Османская империя начала активное строительство военной машины по образцам европейских государств. Формирование новых военных структур на первых этапах протекало в весьма </w:t>
      </w:r>
      <w:r w:rsidR="00102BC7">
        <w:rPr>
          <w:rFonts w:cs="Times New Roman"/>
          <w:sz w:val="24"/>
        </w:rPr>
        <w:t>скромных</w:t>
      </w:r>
      <w:r w:rsidRPr="00B11FFC">
        <w:rPr>
          <w:rFonts w:cs="Times New Roman"/>
          <w:sz w:val="24"/>
        </w:rPr>
        <w:t xml:space="preserve"> масштабах и ограничивалось лишь Стамбулом и </w:t>
      </w:r>
      <w:r>
        <w:rPr>
          <w:rFonts w:cs="Times New Roman"/>
          <w:sz w:val="24"/>
        </w:rPr>
        <w:t>прилегающими к нему территориями</w:t>
      </w:r>
      <w:r w:rsidRPr="00B11FFC">
        <w:rPr>
          <w:rFonts w:cs="Times New Roman"/>
          <w:sz w:val="24"/>
        </w:rPr>
        <w:t xml:space="preserve">. Однако с течением времени было принято решение </w:t>
      </w:r>
      <w:r>
        <w:rPr>
          <w:rFonts w:cs="Times New Roman"/>
          <w:sz w:val="24"/>
        </w:rPr>
        <w:t>о</w:t>
      </w:r>
      <w:r w:rsidRPr="00B11FFC">
        <w:rPr>
          <w:rFonts w:cs="Times New Roman"/>
          <w:sz w:val="24"/>
        </w:rPr>
        <w:t xml:space="preserve"> распространени</w:t>
      </w:r>
      <w:r>
        <w:rPr>
          <w:rFonts w:cs="Times New Roman"/>
          <w:sz w:val="24"/>
        </w:rPr>
        <w:t>и</w:t>
      </w:r>
      <w:r w:rsidRPr="00B11FFC">
        <w:rPr>
          <w:rFonts w:cs="Times New Roman"/>
          <w:sz w:val="24"/>
        </w:rPr>
        <w:t xml:space="preserve"> новой системы организации, обучения и комплектования личного состава обновлённых вооружённых сил на всю территорию империи. </w:t>
      </w:r>
      <w:r w:rsidR="00FE4857">
        <w:rPr>
          <w:rFonts w:cs="Times New Roman"/>
          <w:sz w:val="24"/>
        </w:rPr>
        <w:t>Это подразумевало существенное увеличение численности армии, вследствие чего особую важность приобрела проблема выработки механизма пополнения войск новыми кадрами. Эта проблема была системной, она касалась набора в армию мужчин из числа немусульманского населения, а также жителей арабских регионов Османского государства. Этот аспект жизни вооруженных сил не удавалось разработать в течение длительного времени: несмотря на то, что «новая» османская армия начала свою историю в 1826 г., первые законы, регламентировавшие рекрутские наборы, появились только в 1843 г.</w:t>
      </w:r>
    </w:p>
    <w:p w:rsidR="00FE4857" w:rsidRDefault="00FE4857" w:rsidP="00226601">
      <w:pPr>
        <w:spacing w:line="240" w:lineRule="auto"/>
        <w:ind w:firstLine="708"/>
        <w:rPr>
          <w:sz w:val="24"/>
          <w:szCs w:val="22"/>
        </w:rPr>
      </w:pPr>
      <w:r>
        <w:rPr>
          <w:sz w:val="24"/>
          <w:szCs w:val="22"/>
        </w:rPr>
        <w:t xml:space="preserve">В докладе представлены результаты исследования динамики развития механизма </w:t>
      </w:r>
      <w:r w:rsidR="00014B2B">
        <w:rPr>
          <w:sz w:val="24"/>
          <w:szCs w:val="22"/>
        </w:rPr>
        <w:t>призыва на воинскую службу в войска Османской империи в период наиболее активной трансформации её вооруженных сил. Исследование основано главным образом на корпусе источников на османском языке, авторами которых являются как османские историки, так и кадровые военные, офицеры и генералы османской армии. Корпус источников, тем не менее, не ограничивается лишь османскими работами, он включает в себя российские и европейские труды, и может быть разделён на три группы:</w:t>
      </w:r>
    </w:p>
    <w:p w:rsidR="00014B2B" w:rsidRDefault="00014B2B" w:rsidP="00226601">
      <w:pPr>
        <w:spacing w:line="240" w:lineRule="auto"/>
        <w:ind w:firstLine="708"/>
        <w:rPr>
          <w:sz w:val="24"/>
          <w:szCs w:val="22"/>
        </w:rPr>
      </w:pPr>
      <w:r>
        <w:rPr>
          <w:sz w:val="24"/>
          <w:szCs w:val="22"/>
        </w:rPr>
        <w:t>- Работы, посвящённые организации и состоянию османских вооружённых сил. Они касаются более общих вопросов устройства османской армии, её предполагаемой численности, для достижения которой потребовалось создать механизм набора. К числу таких работ отно</w:t>
      </w:r>
      <w:r w:rsidR="009D0E52">
        <w:rPr>
          <w:sz w:val="24"/>
          <w:szCs w:val="22"/>
        </w:rPr>
        <w:t xml:space="preserve">сится книга Махмуда Шевкет-паши «Организация и обмундирование османской армии», изданный в Стамбуле в 1909 г., а также транслитерированный Ахмедом </w:t>
      </w:r>
      <w:proofErr w:type="spellStart"/>
      <w:r w:rsidR="009D0E52">
        <w:rPr>
          <w:sz w:val="24"/>
          <w:szCs w:val="22"/>
        </w:rPr>
        <w:t>Чобаном</w:t>
      </w:r>
      <w:proofErr w:type="spellEnd"/>
      <w:r w:rsidR="009D0E52">
        <w:rPr>
          <w:sz w:val="24"/>
          <w:szCs w:val="22"/>
        </w:rPr>
        <w:t xml:space="preserve"> текст работы Ахмеда </w:t>
      </w:r>
      <w:proofErr w:type="spellStart"/>
      <w:r w:rsidR="009D0E52">
        <w:rPr>
          <w:sz w:val="24"/>
          <w:szCs w:val="22"/>
        </w:rPr>
        <w:t>Джевада</w:t>
      </w:r>
      <w:proofErr w:type="spellEnd"/>
      <w:r w:rsidR="009D0E52">
        <w:rPr>
          <w:sz w:val="24"/>
          <w:szCs w:val="22"/>
        </w:rPr>
        <w:t xml:space="preserve"> «Османская военная история», опубликованный в </w:t>
      </w:r>
      <w:proofErr w:type="spellStart"/>
      <w:r w:rsidR="009D0E52">
        <w:rPr>
          <w:sz w:val="24"/>
          <w:szCs w:val="22"/>
        </w:rPr>
        <w:t>Афьонкарахисаре</w:t>
      </w:r>
      <w:proofErr w:type="spellEnd"/>
      <w:r w:rsidR="009D0E52">
        <w:rPr>
          <w:sz w:val="24"/>
          <w:szCs w:val="22"/>
        </w:rPr>
        <w:t xml:space="preserve"> в 2009 г.;</w:t>
      </w:r>
    </w:p>
    <w:p w:rsidR="009D0E52" w:rsidRDefault="009D0E52" w:rsidP="00226601">
      <w:pPr>
        <w:spacing w:line="240" w:lineRule="auto"/>
        <w:ind w:firstLine="708"/>
        <w:rPr>
          <w:sz w:val="24"/>
          <w:szCs w:val="22"/>
        </w:rPr>
      </w:pPr>
      <w:r>
        <w:rPr>
          <w:sz w:val="24"/>
          <w:szCs w:val="22"/>
        </w:rPr>
        <w:t>-</w:t>
      </w:r>
      <w:r w:rsidR="00C846CA">
        <w:rPr>
          <w:sz w:val="24"/>
          <w:szCs w:val="22"/>
        </w:rPr>
        <w:t xml:space="preserve"> </w:t>
      </w:r>
      <w:r>
        <w:rPr>
          <w:sz w:val="24"/>
          <w:szCs w:val="22"/>
        </w:rPr>
        <w:t>Источники, сфокусированные на проблемах рекрутских наборов и пополнения живой силы османской армии. К их числу относится работа Мустафы Нури-паши «Следствия событий», изданная в 1877 г., а также 258-й выпуск газеты «</w:t>
      </w:r>
      <w:proofErr w:type="spellStart"/>
      <w:r>
        <w:rPr>
          <w:sz w:val="24"/>
          <w:szCs w:val="22"/>
        </w:rPr>
        <w:t>Таквим</w:t>
      </w:r>
      <w:proofErr w:type="spellEnd"/>
      <w:r>
        <w:rPr>
          <w:sz w:val="24"/>
          <w:szCs w:val="22"/>
        </w:rPr>
        <w:t xml:space="preserve">-и </w:t>
      </w:r>
      <w:proofErr w:type="spellStart"/>
      <w:r>
        <w:rPr>
          <w:sz w:val="24"/>
          <w:szCs w:val="22"/>
        </w:rPr>
        <w:t>Векаи</w:t>
      </w:r>
      <w:proofErr w:type="spellEnd"/>
      <w:r>
        <w:rPr>
          <w:sz w:val="24"/>
          <w:szCs w:val="22"/>
        </w:rPr>
        <w:t>» от 1843 г., где был опубликован первый относительно детально проработанный закон о воинской обязанности в Османской империи;</w:t>
      </w:r>
    </w:p>
    <w:p w:rsidR="009D0E52" w:rsidRDefault="009D0E52" w:rsidP="00226601">
      <w:pPr>
        <w:spacing w:line="240" w:lineRule="auto"/>
        <w:ind w:firstLine="708"/>
        <w:rPr>
          <w:sz w:val="24"/>
          <w:szCs w:val="22"/>
        </w:rPr>
      </w:pPr>
      <w:r>
        <w:rPr>
          <w:sz w:val="24"/>
          <w:szCs w:val="22"/>
        </w:rPr>
        <w:t xml:space="preserve">- Европейские источники и архивные материалы на русском и французском языках, также касающиеся вопросов рекрутских наборов и службы в османской армии мужчин из числа </w:t>
      </w:r>
      <w:proofErr w:type="spellStart"/>
      <w:r>
        <w:rPr>
          <w:sz w:val="24"/>
          <w:szCs w:val="22"/>
        </w:rPr>
        <w:t>немусульман</w:t>
      </w:r>
      <w:proofErr w:type="spellEnd"/>
      <w:r>
        <w:rPr>
          <w:sz w:val="24"/>
          <w:szCs w:val="22"/>
        </w:rPr>
        <w:t xml:space="preserve">. К числу таковых относятся материалы фонда «Посольство в Константинополе» Архива внешней политики Российской империи, письма о событиях в Османской империи Карла Гельмута Графа фон </w:t>
      </w:r>
      <w:proofErr w:type="spellStart"/>
      <w:r>
        <w:rPr>
          <w:sz w:val="24"/>
          <w:szCs w:val="22"/>
        </w:rPr>
        <w:t>Мольтке</w:t>
      </w:r>
      <w:proofErr w:type="spellEnd"/>
      <w:r>
        <w:rPr>
          <w:sz w:val="24"/>
          <w:szCs w:val="22"/>
        </w:rPr>
        <w:t xml:space="preserve"> </w:t>
      </w:r>
      <w:r w:rsidR="00C846CA">
        <w:rPr>
          <w:sz w:val="24"/>
          <w:szCs w:val="22"/>
        </w:rPr>
        <w:t>от</w:t>
      </w:r>
      <w:r>
        <w:rPr>
          <w:sz w:val="24"/>
          <w:szCs w:val="22"/>
        </w:rPr>
        <w:t xml:space="preserve"> 1836-1838 гг., а также работа Эдуарда Энгельгардта «Турция и </w:t>
      </w:r>
      <w:proofErr w:type="spellStart"/>
      <w:r>
        <w:rPr>
          <w:sz w:val="24"/>
          <w:szCs w:val="22"/>
        </w:rPr>
        <w:t>Танзимат</w:t>
      </w:r>
      <w:proofErr w:type="spellEnd"/>
      <w:r>
        <w:rPr>
          <w:sz w:val="24"/>
          <w:szCs w:val="22"/>
        </w:rPr>
        <w:t>», переведённая на французский язык и изданная в Париже в 1882 г.</w:t>
      </w:r>
    </w:p>
    <w:p w:rsidR="00C846CA" w:rsidRDefault="00C846CA" w:rsidP="00226601">
      <w:pPr>
        <w:spacing w:line="240" w:lineRule="auto"/>
        <w:ind w:firstLine="708"/>
        <w:rPr>
          <w:sz w:val="24"/>
          <w:szCs w:val="22"/>
        </w:rPr>
      </w:pPr>
      <w:r>
        <w:rPr>
          <w:sz w:val="24"/>
          <w:szCs w:val="22"/>
        </w:rPr>
        <w:t xml:space="preserve">Основной целью данной работы стало проведение системного анализа развития османского призывного механизма. Отдельное внимание было уделено выявлению различий между различными версиями законов о воинской обязанности и причин, по </w:t>
      </w:r>
      <w:r>
        <w:rPr>
          <w:sz w:val="24"/>
          <w:szCs w:val="22"/>
        </w:rPr>
        <w:lastRenderedPageBreak/>
        <w:t xml:space="preserve">которым в них вносились изменения. В исследовании предприняты попытки ответить на следующие вопросы: </w:t>
      </w:r>
      <w:r w:rsidR="00523987">
        <w:rPr>
          <w:sz w:val="24"/>
          <w:szCs w:val="22"/>
        </w:rPr>
        <w:t xml:space="preserve">в чем причина столь длительной задержки между созданием новой армии и способов её пополнения? Сколько раз османские власти были вынуждены корректировать законы о наборе на службу? Как им удалось решить проблему службы в армии </w:t>
      </w:r>
      <w:proofErr w:type="spellStart"/>
      <w:r w:rsidR="00523987">
        <w:rPr>
          <w:sz w:val="24"/>
          <w:szCs w:val="22"/>
        </w:rPr>
        <w:t>немусульман</w:t>
      </w:r>
      <w:proofErr w:type="spellEnd"/>
      <w:r w:rsidR="00523987">
        <w:rPr>
          <w:sz w:val="24"/>
          <w:szCs w:val="22"/>
        </w:rPr>
        <w:t xml:space="preserve"> с учетом реформ </w:t>
      </w:r>
      <w:proofErr w:type="spellStart"/>
      <w:r w:rsidR="00523987">
        <w:rPr>
          <w:sz w:val="24"/>
          <w:szCs w:val="22"/>
        </w:rPr>
        <w:t>Танзимата</w:t>
      </w:r>
      <w:proofErr w:type="spellEnd"/>
      <w:r w:rsidR="00523987">
        <w:rPr>
          <w:sz w:val="24"/>
          <w:szCs w:val="22"/>
        </w:rPr>
        <w:t>, уравнявших их в правах с мусульманами? Удалось ли в конце концов разрешить проблему пополнения личного состава османских войск?</w:t>
      </w:r>
    </w:p>
    <w:p w:rsidR="00E34B14" w:rsidRDefault="00523987" w:rsidP="00226601">
      <w:pPr>
        <w:spacing w:line="240" w:lineRule="auto"/>
        <w:ind w:firstLine="708"/>
        <w:rPr>
          <w:sz w:val="24"/>
          <w:szCs w:val="22"/>
        </w:rPr>
      </w:pPr>
      <w:r>
        <w:rPr>
          <w:sz w:val="24"/>
          <w:szCs w:val="22"/>
        </w:rPr>
        <w:t xml:space="preserve">Для ответа на эти вопросы необходимо рассматривать проблему формирования призывного механизма в динамике. На первых порах в османской армии не имелось никаких универсальных правил набора рекрутов. Типичной была ситуация, когда каждый полк по-своему регулировал призыв для своих подразделений. Эти критерии могли различаться от формирования к формированию, однако </w:t>
      </w:r>
      <w:r w:rsidR="00E34B14">
        <w:rPr>
          <w:sz w:val="24"/>
          <w:szCs w:val="22"/>
        </w:rPr>
        <w:t>их объединяла чрезмерная размытость и неточность в том, что касалось категорий годности. Четких правил, обозначавших возраст и физическое состояние новобранца, равно как и срок, на который его призывали, не существовало, что приводило ко множественным случаям произвола со стороны ответственных за пополнения. Возникали ситуации, когда в войска набирали подростков младше 15 лет, либо слишком пожилых мужчин, либо инвалидов. Всё это привлекло внимание властей и заставило их в 1843 г. опубликовать подробный закон о воинской обязанности.</w:t>
      </w:r>
    </w:p>
    <w:p w:rsidR="00523987" w:rsidRDefault="00E34B14" w:rsidP="00226601">
      <w:pPr>
        <w:spacing w:line="240" w:lineRule="auto"/>
        <w:ind w:firstLine="708"/>
        <w:rPr>
          <w:sz w:val="24"/>
          <w:szCs w:val="22"/>
        </w:rPr>
      </w:pPr>
      <w:r>
        <w:rPr>
          <w:sz w:val="24"/>
          <w:szCs w:val="22"/>
        </w:rPr>
        <w:t xml:space="preserve">Этот документ, тем не менее, не решил всех проблем. Главной из них стало отсутствие полных списков мужчин, среди которых планировалось вести набор, в регионе Арабской армии они охватывали менее 5% жителей. Для этого потребовалось осуществить перепись населения, что заняло время, и очередной набор прошел с многочисленными нарушениями. После этого османское правительство стало вносить множество уточнений и корректировок в изданный закон. Новая его редакция вышла в 1846 г., в ней было введено ключевое правило набора – призыв по жребию. </w:t>
      </w:r>
      <w:r w:rsidR="00C8123D">
        <w:rPr>
          <w:sz w:val="24"/>
          <w:szCs w:val="22"/>
        </w:rPr>
        <w:t>Она улучшила ситуацию, однако цель – проведение призыва по всей империи – так и не была достигнута. Очередная редакция от 1869 г., увеличившая срок службы с двенадцати до двадцати лет, только ухудшила положение дел. Обновленный закон спровоцировал ряд восстаний на Балканах и на востоке Анатолии, которые пришлось подавлять силами армии. Вместе с тем, отказ от него был невозможен. Стремясь увеличить численность войск до 700 тыс. человек, Порта не могла избежать проведения масштабных наборов, вызывавших острое недовольство населения.</w:t>
      </w:r>
    </w:p>
    <w:p w:rsidR="00C8123D" w:rsidRDefault="00C8123D" w:rsidP="00226601">
      <w:pPr>
        <w:spacing w:line="240" w:lineRule="auto"/>
        <w:ind w:firstLine="708"/>
        <w:rPr>
          <w:sz w:val="24"/>
          <w:szCs w:val="22"/>
        </w:rPr>
      </w:pPr>
      <w:r>
        <w:rPr>
          <w:sz w:val="24"/>
          <w:szCs w:val="22"/>
        </w:rPr>
        <w:t xml:space="preserve">Проведенное исследование показало, что отлаженный механизм призыва в османскую армию </w:t>
      </w:r>
      <w:r w:rsidR="00102BC7">
        <w:rPr>
          <w:sz w:val="24"/>
          <w:szCs w:val="22"/>
        </w:rPr>
        <w:t>стал императивом</w:t>
      </w:r>
      <w:r>
        <w:rPr>
          <w:sz w:val="24"/>
          <w:szCs w:val="22"/>
        </w:rPr>
        <w:t xml:space="preserve"> для имперской военной машины. В его отсутствие она не смогла бы обеспечить свое полноценное существование и выполнить свои функции. </w:t>
      </w:r>
      <w:r w:rsidR="00667A2A">
        <w:rPr>
          <w:sz w:val="24"/>
          <w:szCs w:val="22"/>
        </w:rPr>
        <w:t xml:space="preserve">Несмотря на то, что </w:t>
      </w:r>
      <w:r w:rsidR="00102BC7">
        <w:rPr>
          <w:sz w:val="24"/>
          <w:szCs w:val="22"/>
        </w:rPr>
        <w:t>Порте</w:t>
      </w:r>
      <w:r w:rsidR="00667A2A">
        <w:rPr>
          <w:sz w:val="24"/>
          <w:szCs w:val="22"/>
        </w:rPr>
        <w:t xml:space="preserve"> удалось создать подробные правила наборов, впоследствии успешно применявшиеся, османы не решили ряд серьёзных проблем, связанных со службой в армии </w:t>
      </w:r>
      <w:proofErr w:type="spellStart"/>
      <w:r w:rsidR="00667A2A">
        <w:rPr>
          <w:sz w:val="24"/>
          <w:szCs w:val="22"/>
        </w:rPr>
        <w:t>немусульман</w:t>
      </w:r>
      <w:proofErr w:type="spellEnd"/>
      <w:r w:rsidR="00667A2A">
        <w:rPr>
          <w:sz w:val="24"/>
          <w:szCs w:val="22"/>
        </w:rPr>
        <w:t>, а также распространением дезертирства среди призывников на Балканах, на востоке Анатолии и в арабских провинциях. Это снижало мобилизационный потенциал армии и грозило дальнейшим её ослаблением.</w:t>
      </w:r>
    </w:p>
    <w:p w:rsidR="00667A2A" w:rsidRPr="00667A2A" w:rsidRDefault="00667A2A" w:rsidP="00226601">
      <w:pPr>
        <w:spacing w:line="240" w:lineRule="auto"/>
        <w:ind w:firstLine="708"/>
        <w:rPr>
          <w:b/>
          <w:bCs/>
          <w:sz w:val="24"/>
          <w:szCs w:val="22"/>
        </w:rPr>
      </w:pPr>
      <w:r w:rsidRPr="00667A2A">
        <w:rPr>
          <w:b/>
          <w:bCs/>
          <w:sz w:val="24"/>
          <w:szCs w:val="22"/>
        </w:rPr>
        <w:t>Источники</w:t>
      </w:r>
    </w:p>
    <w:p w:rsidR="00667A2A" w:rsidRDefault="00667A2A" w:rsidP="00667A2A">
      <w:pPr>
        <w:pStyle w:val="aa"/>
        <w:numPr>
          <w:ilvl w:val="0"/>
          <w:numId w:val="1"/>
        </w:numPr>
        <w:spacing w:line="240" w:lineRule="auto"/>
        <w:rPr>
          <w:rFonts w:cs="Times New Roman"/>
          <w:sz w:val="24"/>
          <w:lang w:val="tr-TR"/>
        </w:rPr>
      </w:pPr>
      <w:r w:rsidRPr="00667A2A">
        <w:rPr>
          <w:rFonts w:cs="Times New Roman"/>
          <w:i/>
          <w:iCs/>
          <w:sz w:val="24"/>
          <w:lang w:val="tr-TR"/>
        </w:rPr>
        <w:t>Çoban A.H.</w:t>
      </w:r>
      <w:r w:rsidRPr="00281519">
        <w:rPr>
          <w:rFonts w:cs="Times New Roman"/>
          <w:sz w:val="24"/>
          <w:lang w:val="tr-TR"/>
        </w:rPr>
        <w:t xml:space="preserve"> Ahmet Cevat Paşa’nın </w:t>
      </w:r>
      <w:proofErr w:type="spellStart"/>
      <w:r w:rsidRPr="00281519">
        <w:rPr>
          <w:rFonts w:cs="Times New Roman"/>
          <w:sz w:val="24"/>
          <w:lang w:val="tr-TR"/>
        </w:rPr>
        <w:t>Târih</w:t>
      </w:r>
      <w:proofErr w:type="spellEnd"/>
      <w:r w:rsidRPr="00281519">
        <w:rPr>
          <w:rFonts w:cs="Times New Roman"/>
          <w:sz w:val="24"/>
          <w:lang w:val="tr-TR"/>
        </w:rPr>
        <w:t xml:space="preserve">-i Askerî-i </w:t>
      </w:r>
      <w:proofErr w:type="spellStart"/>
      <w:r w:rsidRPr="00281519">
        <w:rPr>
          <w:rFonts w:cs="Times New Roman"/>
          <w:sz w:val="24"/>
          <w:lang w:val="tr-TR"/>
        </w:rPr>
        <w:t>Osmânî</w:t>
      </w:r>
      <w:proofErr w:type="spellEnd"/>
      <w:r w:rsidRPr="00281519">
        <w:rPr>
          <w:rFonts w:cs="Times New Roman"/>
          <w:sz w:val="24"/>
          <w:lang w:val="tr-TR"/>
        </w:rPr>
        <w:t xml:space="preserve"> (</w:t>
      </w:r>
      <w:proofErr w:type="spellStart"/>
      <w:r w:rsidRPr="00281519">
        <w:rPr>
          <w:rFonts w:cs="Times New Roman"/>
          <w:sz w:val="24"/>
          <w:lang w:val="tr-TR"/>
        </w:rPr>
        <w:t>Kitâb</w:t>
      </w:r>
      <w:proofErr w:type="spellEnd"/>
      <w:r w:rsidRPr="00281519">
        <w:rPr>
          <w:rFonts w:cs="Times New Roman"/>
          <w:sz w:val="24"/>
          <w:lang w:val="tr-TR"/>
        </w:rPr>
        <w:t xml:space="preserve">-ı </w:t>
      </w:r>
      <w:proofErr w:type="spellStart"/>
      <w:r w:rsidRPr="00281519">
        <w:rPr>
          <w:rFonts w:cs="Times New Roman"/>
          <w:sz w:val="24"/>
          <w:lang w:val="tr-TR"/>
        </w:rPr>
        <w:t>Râbi</w:t>
      </w:r>
      <w:proofErr w:type="spellEnd"/>
      <w:r w:rsidRPr="00281519">
        <w:rPr>
          <w:rFonts w:cs="Times New Roman"/>
          <w:sz w:val="24"/>
          <w:lang w:val="tr-TR"/>
        </w:rPr>
        <w:t xml:space="preserve">’) adlı eserinin </w:t>
      </w:r>
      <w:proofErr w:type="spellStart"/>
      <w:r w:rsidRPr="00281519">
        <w:rPr>
          <w:rFonts w:cs="Times New Roman"/>
          <w:sz w:val="24"/>
          <w:lang w:val="tr-TR"/>
        </w:rPr>
        <w:t>transkripsiyonlu</w:t>
      </w:r>
      <w:proofErr w:type="spellEnd"/>
      <w:r w:rsidRPr="00281519">
        <w:rPr>
          <w:rFonts w:cs="Times New Roman"/>
          <w:sz w:val="24"/>
          <w:lang w:val="tr-TR"/>
        </w:rPr>
        <w:t xml:space="preserve"> metni. (Yüksek lisans tezi). – Afyonkarahisar: Afyon Kocatepe Üniversitesi; 2009;</w:t>
      </w:r>
    </w:p>
    <w:p w:rsidR="00667A2A" w:rsidRPr="00667A2A" w:rsidRDefault="00667A2A" w:rsidP="00667A2A">
      <w:pPr>
        <w:pStyle w:val="aa"/>
        <w:numPr>
          <w:ilvl w:val="0"/>
          <w:numId w:val="1"/>
        </w:numPr>
        <w:spacing w:line="240" w:lineRule="auto"/>
        <w:rPr>
          <w:rFonts w:cs="Times New Roman"/>
          <w:sz w:val="22"/>
          <w:szCs w:val="22"/>
          <w:lang w:val="tr-TR"/>
        </w:rPr>
      </w:pPr>
      <w:proofErr w:type="spellStart"/>
      <w:r w:rsidRPr="00667A2A">
        <w:rPr>
          <w:sz w:val="24"/>
          <w:szCs w:val="22"/>
          <w:lang w:val="fr-FR"/>
        </w:rPr>
        <w:t>Engelhardt</w:t>
      </w:r>
      <w:proofErr w:type="spellEnd"/>
      <w:r w:rsidRPr="00667A2A">
        <w:rPr>
          <w:sz w:val="24"/>
          <w:szCs w:val="22"/>
          <w:lang w:val="fr-FR"/>
        </w:rPr>
        <w:t xml:space="preserve"> É. La Turquie et le Tanzimat. – </w:t>
      </w:r>
      <w:proofErr w:type="gramStart"/>
      <w:r w:rsidRPr="00667A2A">
        <w:rPr>
          <w:sz w:val="24"/>
          <w:szCs w:val="22"/>
          <w:lang w:val="fr-FR"/>
        </w:rPr>
        <w:t>Paris:</w:t>
      </w:r>
      <w:proofErr w:type="gramEnd"/>
      <w:r w:rsidRPr="00667A2A">
        <w:rPr>
          <w:sz w:val="24"/>
          <w:szCs w:val="22"/>
          <w:lang w:val="fr-FR"/>
        </w:rPr>
        <w:t xml:space="preserve"> A. Cotillon et Co.; 1882</w:t>
      </w:r>
      <w:r>
        <w:rPr>
          <w:sz w:val="24"/>
          <w:szCs w:val="22"/>
          <w:lang w:val="fr-FR"/>
        </w:rPr>
        <w:t>;</w:t>
      </w:r>
    </w:p>
    <w:p w:rsidR="00667A2A" w:rsidRPr="00667A2A" w:rsidRDefault="00667A2A" w:rsidP="00667A2A">
      <w:pPr>
        <w:pStyle w:val="aa"/>
        <w:numPr>
          <w:ilvl w:val="0"/>
          <w:numId w:val="1"/>
        </w:numPr>
        <w:spacing w:line="240" w:lineRule="auto"/>
        <w:rPr>
          <w:sz w:val="24"/>
          <w:szCs w:val="22"/>
          <w:lang w:val="tr-TR"/>
        </w:rPr>
      </w:pPr>
      <w:proofErr w:type="spellStart"/>
      <w:r w:rsidRPr="00667A2A">
        <w:rPr>
          <w:i/>
          <w:iCs/>
          <w:sz w:val="24"/>
          <w:szCs w:val="22"/>
          <w:lang w:val="tr-TR"/>
        </w:rPr>
        <w:t>Nûrî</w:t>
      </w:r>
      <w:proofErr w:type="spellEnd"/>
      <w:r w:rsidRPr="00667A2A">
        <w:rPr>
          <w:i/>
          <w:iCs/>
          <w:sz w:val="24"/>
          <w:szCs w:val="22"/>
          <w:lang w:val="tr-TR"/>
        </w:rPr>
        <w:t>-paşa M.</w:t>
      </w:r>
      <w:r w:rsidRPr="00667A2A">
        <w:rPr>
          <w:sz w:val="24"/>
          <w:szCs w:val="22"/>
          <w:lang w:val="tr-TR"/>
        </w:rPr>
        <w:t xml:space="preserve"> </w:t>
      </w:r>
      <w:proofErr w:type="spellStart"/>
      <w:r w:rsidRPr="00667A2A">
        <w:rPr>
          <w:sz w:val="24"/>
          <w:szCs w:val="22"/>
          <w:lang w:val="tr-TR"/>
        </w:rPr>
        <w:t>Netâyicü’l-Vuku’ât</w:t>
      </w:r>
      <w:proofErr w:type="spellEnd"/>
      <w:r w:rsidRPr="00667A2A">
        <w:rPr>
          <w:sz w:val="24"/>
          <w:szCs w:val="22"/>
          <w:lang w:val="tr-TR"/>
        </w:rPr>
        <w:t xml:space="preserve">. </w:t>
      </w:r>
      <w:proofErr w:type="spellStart"/>
      <w:r w:rsidRPr="00667A2A">
        <w:rPr>
          <w:sz w:val="24"/>
          <w:szCs w:val="22"/>
          <w:lang w:val="tr-TR"/>
        </w:rPr>
        <w:t>Cild</w:t>
      </w:r>
      <w:proofErr w:type="spellEnd"/>
      <w:r w:rsidRPr="00667A2A">
        <w:rPr>
          <w:sz w:val="24"/>
          <w:szCs w:val="22"/>
          <w:lang w:val="tr-TR"/>
        </w:rPr>
        <w:t>-i Rabi’. – İstanbul: Uhuvvet Matbaası; 1327 (1909);</w:t>
      </w:r>
    </w:p>
    <w:p w:rsidR="00667A2A" w:rsidRDefault="00667A2A" w:rsidP="00667A2A">
      <w:pPr>
        <w:pStyle w:val="aa"/>
        <w:numPr>
          <w:ilvl w:val="0"/>
          <w:numId w:val="1"/>
        </w:numPr>
        <w:spacing w:line="240" w:lineRule="auto"/>
        <w:rPr>
          <w:rFonts w:cs="Times New Roman"/>
          <w:sz w:val="24"/>
          <w:lang w:val="en-US"/>
        </w:rPr>
      </w:pPr>
      <w:r w:rsidRPr="00667A2A">
        <w:rPr>
          <w:rFonts w:cs="Times New Roman"/>
          <w:i/>
          <w:iCs/>
          <w:sz w:val="24"/>
          <w:lang w:val="tr-TR"/>
        </w:rPr>
        <w:t>Şevket M.</w:t>
      </w:r>
      <w:r w:rsidRPr="00281519">
        <w:rPr>
          <w:rFonts w:cs="Times New Roman"/>
          <w:sz w:val="24"/>
          <w:lang w:val="tr-TR"/>
        </w:rPr>
        <w:t xml:space="preserve"> </w:t>
      </w:r>
      <w:proofErr w:type="spellStart"/>
      <w:r w:rsidRPr="00281519">
        <w:rPr>
          <w:rFonts w:cs="Times New Roman"/>
          <w:sz w:val="24"/>
          <w:lang w:val="tr-TR"/>
        </w:rPr>
        <w:t>Osmânlı</w:t>
      </w:r>
      <w:proofErr w:type="spellEnd"/>
      <w:r w:rsidRPr="00281519">
        <w:rPr>
          <w:rFonts w:cs="Times New Roman"/>
          <w:sz w:val="24"/>
          <w:lang w:val="tr-TR"/>
        </w:rPr>
        <w:t xml:space="preserve"> </w:t>
      </w:r>
      <w:proofErr w:type="spellStart"/>
      <w:r w:rsidRPr="00281519">
        <w:rPr>
          <w:rFonts w:cs="Times New Roman"/>
          <w:sz w:val="24"/>
          <w:lang w:val="tr-TR"/>
        </w:rPr>
        <w:t>teşkîlât</w:t>
      </w:r>
      <w:proofErr w:type="spellEnd"/>
      <w:r w:rsidRPr="00281519">
        <w:rPr>
          <w:rFonts w:cs="Times New Roman"/>
          <w:sz w:val="24"/>
          <w:lang w:val="tr-TR"/>
        </w:rPr>
        <w:t xml:space="preserve"> ve </w:t>
      </w:r>
      <w:proofErr w:type="spellStart"/>
      <w:r w:rsidRPr="00281519">
        <w:rPr>
          <w:rFonts w:cs="Times New Roman"/>
          <w:sz w:val="24"/>
          <w:lang w:val="tr-TR"/>
        </w:rPr>
        <w:t>kıyâfet</w:t>
      </w:r>
      <w:proofErr w:type="spellEnd"/>
      <w:r w:rsidRPr="00281519">
        <w:rPr>
          <w:rFonts w:cs="Times New Roman"/>
          <w:sz w:val="24"/>
          <w:lang w:val="tr-TR"/>
        </w:rPr>
        <w:t xml:space="preserve">-i askeriyesi. İkinci cüz. – İstanbul: </w:t>
      </w:r>
      <w:proofErr w:type="spellStart"/>
      <w:r w:rsidRPr="00281519">
        <w:rPr>
          <w:rFonts w:cs="Times New Roman"/>
          <w:sz w:val="24"/>
          <w:lang w:val="tr-TR"/>
        </w:rPr>
        <w:t>Mekteb</w:t>
      </w:r>
      <w:proofErr w:type="spellEnd"/>
      <w:r w:rsidRPr="00281519">
        <w:rPr>
          <w:rFonts w:cs="Times New Roman"/>
          <w:sz w:val="24"/>
          <w:lang w:val="tr-TR"/>
        </w:rPr>
        <w:t>-i Harbiye Matbaası; 1325 (1909)</w:t>
      </w:r>
      <w:r w:rsidRPr="00281519">
        <w:rPr>
          <w:rFonts w:cs="Times New Roman"/>
          <w:sz w:val="24"/>
          <w:lang w:val="en-US"/>
        </w:rPr>
        <w:t>;</w:t>
      </w:r>
    </w:p>
    <w:p w:rsidR="00667A2A" w:rsidRPr="00667A2A" w:rsidRDefault="00667A2A" w:rsidP="00667A2A">
      <w:pPr>
        <w:pStyle w:val="aa"/>
        <w:numPr>
          <w:ilvl w:val="0"/>
          <w:numId w:val="1"/>
        </w:numPr>
        <w:spacing w:line="240" w:lineRule="auto"/>
        <w:rPr>
          <w:rFonts w:cs="Times New Roman"/>
          <w:sz w:val="22"/>
          <w:szCs w:val="22"/>
          <w:lang w:val="en-US"/>
        </w:rPr>
      </w:pPr>
      <w:proofErr w:type="spellStart"/>
      <w:r w:rsidRPr="00667A2A">
        <w:rPr>
          <w:sz w:val="24"/>
          <w:szCs w:val="22"/>
          <w:lang w:val="tr-TR"/>
        </w:rPr>
        <w:t>Takvîm</w:t>
      </w:r>
      <w:proofErr w:type="spellEnd"/>
      <w:r w:rsidRPr="00667A2A">
        <w:rPr>
          <w:sz w:val="24"/>
          <w:szCs w:val="22"/>
          <w:lang w:val="tr-TR"/>
        </w:rPr>
        <w:t xml:space="preserve">-i </w:t>
      </w:r>
      <w:proofErr w:type="spellStart"/>
      <w:r w:rsidRPr="00667A2A">
        <w:rPr>
          <w:sz w:val="24"/>
          <w:szCs w:val="22"/>
          <w:lang w:val="tr-TR"/>
        </w:rPr>
        <w:t>Vekâi</w:t>
      </w:r>
      <w:proofErr w:type="spellEnd"/>
      <w:r w:rsidRPr="00667A2A">
        <w:rPr>
          <w:sz w:val="24"/>
          <w:szCs w:val="22"/>
          <w:lang w:val="tr-TR"/>
        </w:rPr>
        <w:t>’. Defa 258, 24 Ş 1259</w:t>
      </w:r>
      <w:r w:rsidRPr="00667A2A">
        <w:rPr>
          <w:sz w:val="24"/>
          <w:szCs w:val="22"/>
          <w:lang w:val="en-US"/>
        </w:rPr>
        <w:t xml:space="preserve"> (1843)</w:t>
      </w:r>
      <w:r w:rsidRPr="00667A2A">
        <w:rPr>
          <w:sz w:val="24"/>
          <w:szCs w:val="22"/>
          <w:lang w:val="tr-TR"/>
        </w:rPr>
        <w:t>.</w:t>
      </w:r>
    </w:p>
    <w:p w:rsidR="00667A2A" w:rsidRPr="00667A2A" w:rsidRDefault="00667A2A" w:rsidP="00667A2A">
      <w:pPr>
        <w:pStyle w:val="aa"/>
        <w:numPr>
          <w:ilvl w:val="0"/>
          <w:numId w:val="1"/>
        </w:numPr>
        <w:spacing w:line="240" w:lineRule="auto"/>
        <w:rPr>
          <w:rFonts w:cs="Times New Roman"/>
          <w:sz w:val="24"/>
        </w:rPr>
      </w:pPr>
      <w:r w:rsidRPr="00281519">
        <w:rPr>
          <w:rFonts w:eastAsia="Arial Unicode MS" w:cs="Times New Roman"/>
          <w:sz w:val="24"/>
        </w:rPr>
        <w:lastRenderedPageBreak/>
        <w:t xml:space="preserve">АВПРИ. Фонд 180, опись 517/2, дело № 4370: Военные сведения о вооружённых силах Турции, </w:t>
      </w:r>
      <w:proofErr w:type="spellStart"/>
      <w:r w:rsidRPr="00281519">
        <w:rPr>
          <w:rFonts w:eastAsia="Arial Unicode MS" w:cs="Times New Roman"/>
          <w:sz w:val="24"/>
        </w:rPr>
        <w:t>Молдовалахии</w:t>
      </w:r>
      <w:proofErr w:type="spellEnd"/>
      <w:r w:rsidRPr="00281519">
        <w:rPr>
          <w:rFonts w:eastAsia="Arial Unicode MS" w:cs="Times New Roman"/>
          <w:sz w:val="24"/>
        </w:rPr>
        <w:t xml:space="preserve">, Сербии, Черногории, Греции, расположение войск, сбор </w:t>
      </w:r>
      <w:proofErr w:type="spellStart"/>
      <w:r w:rsidRPr="00281519">
        <w:rPr>
          <w:rFonts w:eastAsia="Arial Unicode MS" w:cs="Times New Roman"/>
          <w:sz w:val="24"/>
        </w:rPr>
        <w:t>редифов</w:t>
      </w:r>
      <w:proofErr w:type="spellEnd"/>
      <w:r w:rsidRPr="00281519">
        <w:rPr>
          <w:rFonts w:eastAsia="Arial Unicode MS" w:cs="Times New Roman"/>
          <w:sz w:val="24"/>
        </w:rPr>
        <w:t xml:space="preserve"> (1871-1876)</w:t>
      </w:r>
      <w:r>
        <w:rPr>
          <w:rFonts w:eastAsia="Arial Unicode MS" w:cs="Times New Roman"/>
          <w:sz w:val="24"/>
        </w:rPr>
        <w:t>;</w:t>
      </w:r>
    </w:p>
    <w:p w:rsidR="00667A2A" w:rsidRPr="00667A2A" w:rsidRDefault="00667A2A" w:rsidP="00667A2A">
      <w:pPr>
        <w:pStyle w:val="aa"/>
        <w:numPr>
          <w:ilvl w:val="0"/>
          <w:numId w:val="1"/>
        </w:numPr>
        <w:spacing w:line="240" w:lineRule="auto"/>
        <w:rPr>
          <w:sz w:val="24"/>
          <w:szCs w:val="22"/>
        </w:rPr>
      </w:pPr>
      <w:r>
        <w:rPr>
          <w:sz w:val="24"/>
          <w:szCs w:val="22"/>
        </w:rPr>
        <w:t xml:space="preserve">Письма о событиях и приключениях в Турции </w:t>
      </w:r>
      <w:proofErr w:type="spellStart"/>
      <w:r>
        <w:rPr>
          <w:sz w:val="24"/>
          <w:szCs w:val="22"/>
        </w:rPr>
        <w:t>Гелльмута</w:t>
      </w:r>
      <w:proofErr w:type="spellEnd"/>
      <w:r>
        <w:rPr>
          <w:sz w:val="24"/>
          <w:szCs w:val="22"/>
        </w:rPr>
        <w:t xml:space="preserve"> </w:t>
      </w:r>
      <w:proofErr w:type="spellStart"/>
      <w:r>
        <w:rPr>
          <w:sz w:val="24"/>
          <w:szCs w:val="22"/>
        </w:rPr>
        <w:t>Мольтке</w:t>
      </w:r>
      <w:proofErr w:type="spellEnd"/>
      <w:r>
        <w:rPr>
          <w:sz w:val="24"/>
          <w:szCs w:val="22"/>
        </w:rPr>
        <w:t xml:space="preserve">. – СПб.: Типография </w:t>
      </w:r>
      <w:proofErr w:type="spellStart"/>
      <w:r>
        <w:rPr>
          <w:sz w:val="24"/>
          <w:szCs w:val="22"/>
        </w:rPr>
        <w:t>Тренке</w:t>
      </w:r>
      <w:proofErr w:type="spellEnd"/>
      <w:r>
        <w:rPr>
          <w:sz w:val="24"/>
          <w:szCs w:val="22"/>
        </w:rPr>
        <w:t xml:space="preserve"> и </w:t>
      </w:r>
      <w:proofErr w:type="spellStart"/>
      <w:r>
        <w:rPr>
          <w:sz w:val="24"/>
          <w:szCs w:val="22"/>
        </w:rPr>
        <w:t>Фюсно</w:t>
      </w:r>
      <w:proofErr w:type="spellEnd"/>
      <w:r>
        <w:rPr>
          <w:sz w:val="24"/>
          <w:szCs w:val="22"/>
        </w:rPr>
        <w:t>; 1877.</w:t>
      </w:r>
    </w:p>
    <w:sectPr w:rsidR="00667A2A" w:rsidRPr="0066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(Заголовки (сло">
    <w:altName w:val="Times New Roman"/>
    <w:panose1 w:val="020B06040202020202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05BC"/>
    <w:multiLevelType w:val="hybridMultilevel"/>
    <w:tmpl w:val="9F8A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D0309"/>
    <w:multiLevelType w:val="hybridMultilevel"/>
    <w:tmpl w:val="6A02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333220">
    <w:abstractNumId w:val="1"/>
  </w:num>
  <w:num w:numId="2" w16cid:durableId="627245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01"/>
    <w:rsid w:val="00014B2B"/>
    <w:rsid w:val="00102BC7"/>
    <w:rsid w:val="00226601"/>
    <w:rsid w:val="0026084A"/>
    <w:rsid w:val="002D26B0"/>
    <w:rsid w:val="002E5BCA"/>
    <w:rsid w:val="00523987"/>
    <w:rsid w:val="00533C9D"/>
    <w:rsid w:val="00667A2A"/>
    <w:rsid w:val="009D0E52"/>
    <w:rsid w:val="00C8123D"/>
    <w:rsid w:val="00C846CA"/>
    <w:rsid w:val="00E329BB"/>
    <w:rsid w:val="00E34B14"/>
    <w:rsid w:val="00FE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42D5C4"/>
  <w15:chartTrackingRefBased/>
  <w15:docId w15:val="{E316BFD6-6A19-6648-9074-01769878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601"/>
    <w:pPr>
      <w:spacing w:line="360" w:lineRule="auto"/>
      <w:jc w:val="both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5B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"/>
    <w:link w:val="a4"/>
    <w:uiPriority w:val="10"/>
    <w:qFormat/>
    <w:rsid w:val="002E5BCA"/>
    <w:pPr>
      <w:spacing w:line="480" w:lineRule="auto"/>
      <w:contextualSpacing/>
      <w:jc w:val="center"/>
    </w:pPr>
    <w:rPr>
      <w:rFonts w:ascii="Times New Roman" w:hAnsi="Times New Roman" w:cs="Times New Roman (Заголовки (сло"/>
      <w:b/>
      <w:color w:val="000000" w:themeColor="text1"/>
      <w:kern w:val="28"/>
      <w:sz w:val="36"/>
      <w:szCs w:val="56"/>
    </w:rPr>
  </w:style>
  <w:style w:type="character" w:customStyle="1" w:styleId="a4">
    <w:name w:val="Заголовок Знак"/>
    <w:basedOn w:val="a0"/>
    <w:link w:val="a3"/>
    <w:uiPriority w:val="10"/>
    <w:rsid w:val="002E5BCA"/>
    <w:rPr>
      <w:rFonts w:ascii="Times New Roman" w:eastAsiaTheme="majorEastAsia" w:hAnsi="Times New Roman" w:cs="Times New Roman (Заголовки (сло"/>
      <w:b/>
      <w:color w:val="000000" w:themeColor="text1"/>
      <w:kern w:val="28"/>
      <w:sz w:val="3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84A"/>
    <w:pPr>
      <w:numPr>
        <w:ilvl w:val="1"/>
      </w:numPr>
      <w:spacing w:after="160" w:line="480" w:lineRule="auto"/>
      <w:jc w:val="center"/>
    </w:pPr>
    <w:rPr>
      <w:rFonts w:eastAsiaTheme="minorEastAsia"/>
      <w:b/>
      <w:color w:val="000000" w:themeColor="text1"/>
      <w:spacing w:val="15"/>
      <w:sz w:val="3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26084A"/>
    <w:rPr>
      <w:rFonts w:ascii="Times New Roman" w:eastAsiaTheme="minorEastAsia" w:hAnsi="Times New Roman"/>
      <w:b/>
      <w:color w:val="000000" w:themeColor="text1"/>
      <w:spacing w:val="15"/>
      <w:sz w:val="32"/>
      <w:szCs w:val="22"/>
    </w:rPr>
  </w:style>
  <w:style w:type="paragraph" w:customStyle="1" w:styleId="11">
    <w:name w:val="Стиль1"/>
    <w:basedOn w:val="a3"/>
    <w:qFormat/>
    <w:rsid w:val="0026084A"/>
    <w:rPr>
      <w:b w:val="0"/>
    </w:rPr>
  </w:style>
  <w:style w:type="character" w:customStyle="1" w:styleId="10">
    <w:name w:val="Заголовок 1 Знак"/>
    <w:basedOn w:val="a0"/>
    <w:link w:val="1"/>
    <w:uiPriority w:val="9"/>
    <w:rsid w:val="002E5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footnote text"/>
    <w:basedOn w:val="a"/>
    <w:link w:val="a8"/>
    <w:uiPriority w:val="99"/>
    <w:semiHidden/>
    <w:unhideWhenUsed/>
    <w:qFormat/>
    <w:rsid w:val="00533C9D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Theme="minorHAnsi" w:hAnsiTheme="minorHAnsi"/>
      <w:i/>
      <w:sz w:val="24"/>
      <w:lang w:val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533C9D"/>
    <w:rPr>
      <w:i/>
      <w:lang w:val="en-US"/>
    </w:rPr>
  </w:style>
  <w:style w:type="character" w:styleId="a9">
    <w:name w:val="Hyperlink"/>
    <w:basedOn w:val="a0"/>
    <w:uiPriority w:val="99"/>
    <w:unhideWhenUsed/>
    <w:rsid w:val="00226601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67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souricof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1021</Words>
  <Characters>6509</Characters>
  <Application>Microsoft Office Word</Application>
  <DocSecurity>0</DocSecurity>
  <Lines>144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Суриков</dc:creator>
  <cp:keywords/>
  <dc:description/>
  <cp:lastModifiedBy>Кирилл Суриков</cp:lastModifiedBy>
  <cp:revision>2</cp:revision>
  <dcterms:created xsi:type="dcterms:W3CDTF">2024-02-19T15:46:00Z</dcterms:created>
  <dcterms:modified xsi:type="dcterms:W3CDTF">2024-02-26T21:21:00Z</dcterms:modified>
</cp:coreProperties>
</file>