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Монголо-германские отношения в контексте монгольской политики равноудаленности.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3"/>
          <w:szCs w:val="23"/>
          <w:rtl w:val="0"/>
        </w:rPr>
        <w:t xml:space="preserve">Анисимов Алексей Андреевич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76" w:lineRule="auto"/>
        <w:jc w:val="both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Студент магистрант</w:t>
      </w:r>
    </w:p>
    <w:p w:rsidR="00000000" w:rsidDel="00000000" w:rsidP="00000000" w:rsidRDefault="00000000" w:rsidRPr="00000000" w14:paraId="00000006">
      <w:pPr>
        <w:spacing w:after="160" w:line="276" w:lineRule="auto"/>
        <w:jc w:val="both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Московский государственный университет имени М.В.Ломоносова, </w:t>
      </w:r>
    </w:p>
    <w:p w:rsidR="00000000" w:rsidDel="00000000" w:rsidP="00000000" w:rsidRDefault="00000000" w:rsidRPr="00000000" w14:paraId="00000007">
      <w:pPr>
        <w:spacing w:after="160" w:line="276" w:lineRule="auto"/>
        <w:jc w:val="both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Институт стран Азии и Африки, Москва, Россия</w:t>
      </w:r>
    </w:p>
    <w:p w:rsidR="00000000" w:rsidDel="00000000" w:rsidP="00000000" w:rsidRDefault="00000000" w:rsidRPr="00000000" w14:paraId="00000008">
      <w:pPr>
        <w:spacing w:after="16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E–mail: a.pajns@yandex.ru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7 февраля 2024 г. президент Монголии Ухнаагийн Хурэльсух и президент Федеративной республики Германия Франк-Вальтер Штайнмайер подписали договор о стратегическом партнёрстве [4]. Данное внешнпоелитическое событие обозначило новый этап в пятидесятилетней истории отношений между ФРГ и Монголией, к юбилею которых представленный договор и был заключен.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При этом дату, к которой приурочено установление отношений уровня стратегического партнёрства, неправомерно называть юбилеем монголо-германских отношений. За четверть века до 31 января 1974 г. [2, С. 210] (установление дипломатических отношений с ФРГ) дипломатические отношения были установлены между Германской демократической республикой и Монгольской народной республикой 13 апреля 1950 г. [2, С. 204], что действительно можно считать началом монголо-германского сотрудничества в новейшей истории. В данной связи примечателен тот исторический  ориентир, в рамках которого развивается актуальное сотрудничество между демократической Монголией и ФРГ.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Цель представленной работы заключается в определении ключевых тенденций, характерных для периода сотрудничества между ФРГ и Монголией в политической и экономической сферах, с момента заключения договора о всеобъемлющем партнёрстве в 2008 г. [4] Особенность политического статуса договоров, определяющих степень межгосударственного сотрудничества в конкретном случае рассматривается в рамках общей иерархической сети, отражающей степень интенсивности взаимодействия Монголии с конкретным иностранным государством.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 качестве ключевых методов, позволяющих определить степень планомерного расширения двустороннего сотрудничества и определить его место в системе монгольской внешней политики выступают сравнительный (прежде всего применительно к текстам договоров от 2008 г. и от 2024 г.) и регрессионный  анализ. В рамках проведённого регрессионного анализа в роли ключевой независимой переменной выступает показатель двустороннего товарооборота (в период с 2008 по 2023 гг.) [2], в качестве зависимой переменной выступает политическая интенсивность рассматриваемого сотрудничества (выражаемая частотой и уровнем заключения договоров и соглашений и совершённых взаимных визитов).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Выводимая корреляция в совокупности со сравнительным анализом по отношению к сотрудничеству Монголии с другими ключевыми внешнеполитическими игроками позволяет определить особенности перспективной политики ФРГ по отношению к Монголии. Особую роль занимает рассмотрение данной политики в рамках концепции национальной безопасности Монголии [5] и определения концепта «третьего соседа» [1, С. 278].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 результате исследования делается вывод о структурной характеристике  планомерного расширения двустороннего сотрудничества и причинно-следственной связи между монгольской политикой равноудалённости (воплощённой в концепте «третьего соседа») [3] и корреляцией торгового и политического сотрудничества Монголии и ФРГ как средства включения ФРГ в круг стратегических партнёров (наряду с Японией, Индией, США и РК [1, С. 280]) в противовес всеобъемлющим стратегическим партнёрам (КНР, РФ).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История Монголии.  ХХ век / отв.  ред.  Г.  С.  Яскина.  М.: ИВ РАН, 2007. 448 с.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Родионов В.А. Политический процесс в Монголии в условиях постсоциалистической информации. Улан-Удэ: Изд-во Бурятского университета, 2018.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Гаалийн цахим үйлчилгээний систем = Электронная система услуг таможни // Официальный сайт. URL: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https://gaali.mn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Монгол улсын гадаад бодлогын үзэл баримтлал = Концепция внешей политики Монголии. Улан-Батор, 2011.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Монгол улсын гадаад харилцааны яам = Министерство иностранных дел Монголии // Официальный сайт. URL: https://mfa.gov.mn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Монгол улсын үндэсний аюулгүй байдлын үзэл баримтлал = Концепция национальной безопасности Монголии. Улан-Батор, 2010. 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aali.mn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