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87" w:rsidRDefault="00E1241A" w:rsidP="007B178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стратегического планирования в ракетно-космической отрасли Российской Федерации</w:t>
      </w:r>
      <w:r w:rsidR="007B1787" w:rsidRPr="007B1787">
        <w:rPr>
          <w:rFonts w:ascii="Times New Roman" w:hAnsi="Times New Roman" w:cs="Times New Roman"/>
          <w:sz w:val="28"/>
          <w:szCs w:val="28"/>
        </w:rPr>
        <w:t>.</w:t>
      </w:r>
    </w:p>
    <w:p w:rsidR="003520B8" w:rsidRDefault="003520B8" w:rsidP="007B1787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94E8B" w:rsidRDefault="008F2BE3" w:rsidP="006D3FC3">
      <w:pPr>
        <w:spacing w:after="0"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Ракетно-космическая отрасль традиционно реализует крупные высокотехнологичные проекты</w:t>
      </w:r>
      <w:r w:rsidR="00A74249" w:rsidRPr="00A74249">
        <w:rPr>
          <w:rFonts w:ascii="Times New Roman" w:hAnsi="Times New Roman" w:cs="Times New Roman"/>
          <w:sz w:val="28"/>
          <w:szCs w:val="28"/>
        </w:rPr>
        <w:t xml:space="preserve"> </w:t>
      </w:r>
      <w:r w:rsidR="00A74249">
        <w:rPr>
          <w:rFonts w:ascii="Times New Roman" w:hAnsi="Times New Roman" w:cs="Times New Roman"/>
          <w:sz w:val="28"/>
          <w:szCs w:val="28"/>
        </w:rPr>
        <w:t>и программы</w:t>
      </w:r>
      <w:r>
        <w:rPr>
          <w:rFonts w:ascii="Times New Roman" w:hAnsi="Times New Roman" w:cs="Times New Roman"/>
          <w:sz w:val="28"/>
          <w:szCs w:val="28"/>
        </w:rPr>
        <w:t xml:space="preserve"> с длительными сроками реализации. </w:t>
      </w:r>
      <w:r w:rsidR="00A74249">
        <w:rPr>
          <w:rFonts w:ascii="Times New Roman" w:hAnsi="Times New Roman" w:cs="Times New Roman"/>
          <w:sz w:val="28"/>
          <w:szCs w:val="28"/>
        </w:rPr>
        <w:t xml:space="preserve">Успешно достигать </w:t>
      </w:r>
      <w:r w:rsidR="00DF2214">
        <w:rPr>
          <w:rFonts w:ascii="Times New Roman" w:hAnsi="Times New Roman" w:cs="Times New Roman"/>
          <w:sz w:val="28"/>
          <w:szCs w:val="28"/>
        </w:rPr>
        <w:t>поставленных целей</w:t>
      </w:r>
      <w:r w:rsidR="00A74249">
        <w:rPr>
          <w:rFonts w:ascii="Times New Roman" w:hAnsi="Times New Roman" w:cs="Times New Roman"/>
          <w:sz w:val="28"/>
          <w:szCs w:val="28"/>
        </w:rPr>
        <w:t xml:space="preserve"> программ и проектов возможно</w:t>
      </w:r>
      <w:r w:rsidR="006C5B8E">
        <w:rPr>
          <w:rFonts w:ascii="Times New Roman" w:hAnsi="Times New Roman" w:cs="Times New Roman"/>
          <w:sz w:val="28"/>
          <w:szCs w:val="28"/>
        </w:rPr>
        <w:t>,</w:t>
      </w:r>
      <w:r w:rsidR="00A74249">
        <w:rPr>
          <w:rFonts w:ascii="Times New Roman" w:hAnsi="Times New Roman" w:cs="Times New Roman"/>
          <w:sz w:val="28"/>
          <w:szCs w:val="28"/>
        </w:rPr>
        <w:t xml:space="preserve"> применяя</w:t>
      </w:r>
      <w:r w:rsidR="004F5CB1">
        <w:rPr>
          <w:rFonts w:ascii="Times New Roman" w:hAnsi="Times New Roman" w:cs="Times New Roman"/>
          <w:sz w:val="28"/>
          <w:szCs w:val="28"/>
        </w:rPr>
        <w:t xml:space="preserve"> </w:t>
      </w:r>
      <w:r w:rsidR="00E35731">
        <w:rPr>
          <w:rFonts w:ascii="Times New Roman" w:hAnsi="Times New Roman" w:cs="Times New Roman"/>
          <w:sz w:val="28"/>
          <w:szCs w:val="28"/>
        </w:rPr>
        <w:t xml:space="preserve">долгосрочное стратегическое планирование </w:t>
      </w:r>
      <w:r w:rsidR="004F5CB1" w:rsidRPr="004F5CB1">
        <w:rPr>
          <w:rFonts w:ascii="Times New Roman" w:hAnsi="Times New Roman" w:cs="Times New Roman"/>
          <w:sz w:val="28"/>
          <w:szCs w:val="28"/>
        </w:rPr>
        <w:t>[</w:t>
      </w:r>
      <w:r w:rsidR="006801F3">
        <w:rPr>
          <w:rFonts w:ascii="Times New Roman" w:hAnsi="Times New Roman" w:cs="Times New Roman"/>
          <w:sz w:val="28"/>
          <w:szCs w:val="28"/>
        </w:rPr>
        <w:t>1</w:t>
      </w:r>
      <w:r w:rsidR="004F5CB1" w:rsidRPr="004F5CB1">
        <w:rPr>
          <w:rFonts w:ascii="Times New Roman" w:hAnsi="Times New Roman" w:cs="Times New Roman"/>
          <w:sz w:val="28"/>
          <w:szCs w:val="28"/>
        </w:rPr>
        <w:t>]</w:t>
      </w:r>
      <w:r w:rsidR="006801F3">
        <w:rPr>
          <w:rFonts w:ascii="Times New Roman" w:hAnsi="Times New Roman" w:cs="Times New Roman"/>
          <w:sz w:val="28"/>
          <w:szCs w:val="28"/>
        </w:rPr>
        <w:t xml:space="preserve">. </w:t>
      </w:r>
      <w:r w:rsidR="00822E52">
        <w:rPr>
          <w:rFonts w:ascii="Times New Roman" w:hAnsi="Times New Roman" w:cs="Times New Roman"/>
          <w:sz w:val="28"/>
          <w:szCs w:val="28"/>
        </w:rPr>
        <w:t>Только имея чёткую и ясную стратегию можно определить весь комплекс последователь</w:t>
      </w:r>
      <w:bookmarkStart w:id="0" w:name="_GoBack"/>
      <w:bookmarkEnd w:id="0"/>
      <w:r w:rsidR="00822E52">
        <w:rPr>
          <w:rFonts w:ascii="Times New Roman" w:hAnsi="Times New Roman" w:cs="Times New Roman"/>
          <w:sz w:val="28"/>
          <w:szCs w:val="28"/>
        </w:rPr>
        <w:t>ных мероприятий, своевременная и полная реализация которых позволит достичь намеченных целей и решить поставленные при этом задачи.</w:t>
      </w:r>
      <w:r w:rsidR="004775DA">
        <w:rPr>
          <w:rFonts w:ascii="Times New Roman" w:hAnsi="Times New Roman" w:cs="Times New Roman"/>
          <w:sz w:val="28"/>
          <w:szCs w:val="28"/>
        </w:rPr>
        <w:t xml:space="preserve"> Существующие сейчас механизмы и инструменты стратегического планирования отраслей экономики</w:t>
      </w:r>
      <w:r w:rsidR="004B3311">
        <w:rPr>
          <w:rFonts w:ascii="Times New Roman" w:hAnsi="Times New Roman" w:cs="Times New Roman"/>
          <w:sz w:val="28"/>
          <w:szCs w:val="28"/>
        </w:rPr>
        <w:t xml:space="preserve"> при их приме</w:t>
      </w:r>
      <w:r w:rsidR="00053C12">
        <w:rPr>
          <w:rFonts w:ascii="Times New Roman" w:hAnsi="Times New Roman" w:cs="Times New Roman"/>
          <w:sz w:val="28"/>
          <w:szCs w:val="28"/>
        </w:rPr>
        <w:t>нении</w:t>
      </w:r>
      <w:r w:rsidR="00EC75AF">
        <w:rPr>
          <w:rFonts w:ascii="Times New Roman" w:hAnsi="Times New Roman" w:cs="Times New Roman"/>
          <w:sz w:val="28"/>
          <w:szCs w:val="28"/>
        </w:rPr>
        <w:t>,</w:t>
      </w:r>
      <w:r w:rsidR="004775DA">
        <w:rPr>
          <w:rFonts w:ascii="Times New Roman" w:hAnsi="Times New Roman" w:cs="Times New Roman"/>
          <w:sz w:val="28"/>
          <w:szCs w:val="28"/>
        </w:rPr>
        <w:t xml:space="preserve"> вплоть до недавнего времени</w:t>
      </w:r>
      <w:r w:rsidR="00EC75AF">
        <w:rPr>
          <w:rFonts w:ascii="Times New Roman" w:hAnsi="Times New Roman" w:cs="Times New Roman"/>
          <w:sz w:val="28"/>
          <w:szCs w:val="28"/>
        </w:rPr>
        <w:t>,</w:t>
      </w:r>
      <w:r w:rsidR="004775DA">
        <w:rPr>
          <w:rFonts w:ascii="Times New Roman" w:hAnsi="Times New Roman" w:cs="Times New Roman"/>
          <w:sz w:val="28"/>
          <w:szCs w:val="28"/>
        </w:rPr>
        <w:t xml:space="preserve"> позволяли получать предсказуемые результаты развития различных отраслей народного хозяйства.</w:t>
      </w:r>
    </w:p>
    <w:p w:rsidR="004F5CB1" w:rsidRDefault="00B94E8B" w:rsidP="006D3FC3">
      <w:pPr>
        <w:spacing w:after="0"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характеризуется перманентной турбулентностью и неопределённостью. Постоянная турбулентность формирует среду с высокой неопределённостью.</w:t>
      </w:r>
      <w:r w:rsidR="009F6E35">
        <w:rPr>
          <w:rFonts w:ascii="Times New Roman" w:hAnsi="Times New Roman" w:cs="Times New Roman"/>
          <w:sz w:val="28"/>
          <w:szCs w:val="28"/>
        </w:rPr>
        <w:t xml:space="preserve"> При этом данные явления в управлении уже рассматриваются как постоя</w:t>
      </w:r>
      <w:r w:rsidR="00734D9E">
        <w:rPr>
          <w:rFonts w:ascii="Times New Roman" w:hAnsi="Times New Roman" w:cs="Times New Roman"/>
          <w:sz w:val="28"/>
          <w:szCs w:val="28"/>
        </w:rPr>
        <w:t>нно действующие факторы, а не</w:t>
      </w:r>
      <w:r w:rsidR="009F6E35">
        <w:rPr>
          <w:rFonts w:ascii="Times New Roman" w:hAnsi="Times New Roman" w:cs="Times New Roman"/>
          <w:sz w:val="28"/>
          <w:szCs w:val="28"/>
        </w:rPr>
        <w:t xml:space="preserve"> то, чего можно избежать</w:t>
      </w:r>
      <w:r w:rsidR="006801F3">
        <w:rPr>
          <w:rFonts w:ascii="Times New Roman" w:hAnsi="Times New Roman" w:cs="Times New Roman"/>
          <w:sz w:val="28"/>
          <w:szCs w:val="28"/>
        </w:rPr>
        <w:t xml:space="preserve"> </w:t>
      </w:r>
      <w:r w:rsidR="006801F3" w:rsidRPr="006801F3">
        <w:rPr>
          <w:rFonts w:ascii="Times New Roman" w:hAnsi="Times New Roman" w:cs="Times New Roman"/>
          <w:sz w:val="28"/>
          <w:szCs w:val="28"/>
        </w:rPr>
        <w:t>[</w:t>
      </w:r>
      <w:r w:rsidR="006801F3">
        <w:rPr>
          <w:rFonts w:ascii="Times New Roman" w:hAnsi="Times New Roman" w:cs="Times New Roman"/>
          <w:sz w:val="28"/>
          <w:szCs w:val="28"/>
        </w:rPr>
        <w:t>2</w:t>
      </w:r>
      <w:r w:rsidR="006801F3" w:rsidRPr="006801F3">
        <w:rPr>
          <w:rFonts w:ascii="Times New Roman" w:hAnsi="Times New Roman" w:cs="Times New Roman"/>
          <w:sz w:val="28"/>
          <w:szCs w:val="28"/>
        </w:rPr>
        <w:t>]</w:t>
      </w:r>
      <w:r w:rsidR="006801F3">
        <w:rPr>
          <w:rFonts w:ascii="Times New Roman" w:hAnsi="Times New Roman" w:cs="Times New Roman"/>
          <w:sz w:val="28"/>
          <w:szCs w:val="28"/>
        </w:rPr>
        <w:t>.</w:t>
      </w:r>
      <w:r w:rsidR="004F5CB1">
        <w:rPr>
          <w:rFonts w:ascii="Times New Roman" w:hAnsi="Times New Roman" w:cs="Times New Roman"/>
          <w:sz w:val="28"/>
          <w:szCs w:val="28"/>
        </w:rPr>
        <w:t xml:space="preserve"> </w:t>
      </w:r>
      <w:r w:rsidR="00734D9E">
        <w:rPr>
          <w:rFonts w:ascii="Times New Roman" w:hAnsi="Times New Roman" w:cs="Times New Roman"/>
          <w:sz w:val="28"/>
          <w:szCs w:val="28"/>
        </w:rPr>
        <w:t>Очевидно, что это ведёт к существенному затруднению построения и реализации</w:t>
      </w:r>
      <w:r w:rsidR="00CE3F79">
        <w:rPr>
          <w:rFonts w:ascii="Times New Roman" w:hAnsi="Times New Roman" w:cs="Times New Roman"/>
          <w:sz w:val="28"/>
          <w:szCs w:val="28"/>
        </w:rPr>
        <w:t xml:space="preserve"> долгосрочных стратегий, так как сложно прогнозировать факторы, которые будут влиять на реализацию стратегий. Невозможность предсказать данные факторы может приводить к довольно заметным отклонениям от плана в ходе реализации стратегий, </w:t>
      </w:r>
      <w:r w:rsidR="00C93207">
        <w:rPr>
          <w:rFonts w:ascii="Times New Roman" w:hAnsi="Times New Roman" w:cs="Times New Roman"/>
          <w:sz w:val="28"/>
          <w:szCs w:val="28"/>
        </w:rPr>
        <w:t xml:space="preserve">что ставит возможность их реализации под сомнение. Более того, невозможность качественного прогнозирования </w:t>
      </w:r>
      <w:r w:rsidR="00CE3F7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860D0">
        <w:rPr>
          <w:rFonts w:ascii="Times New Roman" w:hAnsi="Times New Roman" w:cs="Times New Roman"/>
          <w:sz w:val="28"/>
          <w:szCs w:val="28"/>
        </w:rPr>
        <w:t xml:space="preserve">привести к ситуации, </w:t>
      </w:r>
      <w:r w:rsidR="00541ACC">
        <w:rPr>
          <w:rFonts w:ascii="Times New Roman" w:hAnsi="Times New Roman" w:cs="Times New Roman"/>
          <w:sz w:val="28"/>
          <w:szCs w:val="28"/>
        </w:rPr>
        <w:t>когда стратегию</w:t>
      </w:r>
      <w:r w:rsidR="007860D0">
        <w:rPr>
          <w:rFonts w:ascii="Times New Roman" w:hAnsi="Times New Roman" w:cs="Times New Roman"/>
          <w:sz w:val="28"/>
          <w:szCs w:val="28"/>
        </w:rPr>
        <w:t xml:space="preserve"> будет необходимо реализовывать в условиях кардинально отличающихся от тех, на которые ориентировались при составлении стратегии. Это может привести </w:t>
      </w:r>
      <w:r w:rsidR="00541ACC">
        <w:rPr>
          <w:rFonts w:ascii="Times New Roman" w:hAnsi="Times New Roman" w:cs="Times New Roman"/>
          <w:sz w:val="28"/>
          <w:szCs w:val="28"/>
        </w:rPr>
        <w:t>не толь</w:t>
      </w:r>
      <w:r w:rsidR="007860D0">
        <w:rPr>
          <w:rFonts w:ascii="Times New Roman" w:hAnsi="Times New Roman" w:cs="Times New Roman"/>
          <w:sz w:val="28"/>
          <w:szCs w:val="28"/>
        </w:rPr>
        <w:t>к</w:t>
      </w:r>
      <w:r w:rsidR="00541ACC">
        <w:rPr>
          <w:rFonts w:ascii="Times New Roman" w:hAnsi="Times New Roman" w:cs="Times New Roman"/>
          <w:sz w:val="28"/>
          <w:szCs w:val="28"/>
        </w:rPr>
        <w:t>о к</w:t>
      </w:r>
      <w:r w:rsidR="007860D0">
        <w:rPr>
          <w:rFonts w:ascii="Times New Roman" w:hAnsi="Times New Roman" w:cs="Times New Roman"/>
          <w:sz w:val="28"/>
          <w:szCs w:val="28"/>
        </w:rPr>
        <w:t xml:space="preserve"> невозможности достичь поставленных целей и выполнения задач стратегии, так и </w:t>
      </w:r>
      <w:r w:rsidR="00C93207">
        <w:rPr>
          <w:rFonts w:ascii="Times New Roman" w:hAnsi="Times New Roman" w:cs="Times New Roman"/>
          <w:sz w:val="28"/>
          <w:szCs w:val="28"/>
        </w:rPr>
        <w:t>с</w:t>
      </w:r>
      <w:r w:rsidR="00CE3F79">
        <w:rPr>
          <w:rFonts w:ascii="Times New Roman" w:hAnsi="Times New Roman" w:cs="Times New Roman"/>
          <w:sz w:val="28"/>
          <w:szCs w:val="28"/>
        </w:rPr>
        <w:t xml:space="preserve">делать неактуальными изначально </w:t>
      </w:r>
      <w:r w:rsidR="00541ACC">
        <w:rPr>
          <w:rFonts w:ascii="Times New Roman" w:hAnsi="Times New Roman" w:cs="Times New Roman"/>
          <w:sz w:val="28"/>
          <w:szCs w:val="28"/>
        </w:rPr>
        <w:t>определённые</w:t>
      </w:r>
      <w:r w:rsidR="00CE3F79">
        <w:rPr>
          <w:rFonts w:ascii="Times New Roman" w:hAnsi="Times New Roman" w:cs="Times New Roman"/>
          <w:sz w:val="28"/>
          <w:szCs w:val="28"/>
        </w:rPr>
        <w:t xml:space="preserve"> цели стратегии.</w:t>
      </w:r>
    </w:p>
    <w:p w:rsidR="00DB65E9" w:rsidRDefault="003B2FB2" w:rsidP="00DB65E9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B2FB2">
        <w:rPr>
          <w:rFonts w:ascii="Times New Roman" w:hAnsi="Times New Roman" w:cs="Times New Roman"/>
          <w:sz w:val="28"/>
          <w:szCs w:val="28"/>
        </w:rPr>
        <w:lastRenderedPageBreak/>
        <w:t xml:space="preserve">В 2017 году </w:t>
      </w:r>
      <w:r w:rsidR="00B94A9A">
        <w:rPr>
          <w:rFonts w:ascii="Times New Roman" w:hAnsi="Times New Roman" w:cs="Times New Roman"/>
          <w:sz w:val="28"/>
          <w:szCs w:val="28"/>
        </w:rPr>
        <w:t>была</w:t>
      </w:r>
      <w:r w:rsidR="00AC7A4B">
        <w:rPr>
          <w:rFonts w:ascii="Times New Roman" w:hAnsi="Times New Roman" w:cs="Times New Roman"/>
          <w:sz w:val="28"/>
          <w:szCs w:val="28"/>
        </w:rPr>
        <w:t xml:space="preserve"> 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535">
        <w:rPr>
          <w:rFonts w:ascii="Times New Roman" w:hAnsi="Times New Roman" w:cs="Times New Roman"/>
          <w:sz w:val="28"/>
          <w:szCs w:val="28"/>
        </w:rPr>
        <w:t>«</w:t>
      </w:r>
      <w:r w:rsidRPr="003B2FB2">
        <w:rPr>
          <w:rFonts w:ascii="Times New Roman" w:hAnsi="Times New Roman" w:cs="Times New Roman"/>
          <w:sz w:val="28"/>
          <w:szCs w:val="28"/>
        </w:rPr>
        <w:t>Стратегия развития Государственной корпорации по космической деятельности «</w:t>
      </w:r>
      <w:proofErr w:type="spellStart"/>
      <w:r w:rsidRPr="003B2FB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3B2FB2">
        <w:rPr>
          <w:rFonts w:ascii="Times New Roman" w:hAnsi="Times New Roman" w:cs="Times New Roman"/>
          <w:sz w:val="28"/>
          <w:szCs w:val="28"/>
        </w:rPr>
        <w:t>» на период до 2025 года и перспективу до 2030 года</w:t>
      </w:r>
      <w:r w:rsidR="00E46535">
        <w:rPr>
          <w:rFonts w:ascii="Times New Roman" w:hAnsi="Times New Roman" w:cs="Times New Roman"/>
          <w:sz w:val="28"/>
          <w:szCs w:val="28"/>
        </w:rPr>
        <w:t>»</w:t>
      </w:r>
      <w:r w:rsidRPr="003B2FB2">
        <w:rPr>
          <w:rFonts w:ascii="Times New Roman" w:hAnsi="Times New Roman" w:cs="Times New Roman"/>
          <w:sz w:val="28"/>
          <w:szCs w:val="28"/>
        </w:rPr>
        <w:t xml:space="preserve"> (протокол заседания наблюдательного совета </w:t>
      </w:r>
      <w:proofErr w:type="spellStart"/>
      <w:r w:rsidRPr="003B2FB2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3B2F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2FB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11 апреля 2017 г. № 10-НС) </w:t>
      </w:r>
      <w:r w:rsidR="00DB65E9">
        <w:rPr>
          <w:rFonts w:ascii="Times New Roman" w:hAnsi="Times New Roman" w:cs="Times New Roman"/>
          <w:sz w:val="28"/>
          <w:szCs w:val="28"/>
        </w:rPr>
        <w:t>[4</w:t>
      </w:r>
      <w:r w:rsidRPr="003B2FB2">
        <w:rPr>
          <w:rFonts w:ascii="Times New Roman" w:hAnsi="Times New Roman" w:cs="Times New Roman"/>
          <w:sz w:val="28"/>
          <w:szCs w:val="28"/>
        </w:rPr>
        <w:t>].</w:t>
      </w:r>
      <w:r w:rsidR="00DB65E9">
        <w:rPr>
          <w:rFonts w:ascii="Times New Roman" w:hAnsi="Times New Roman" w:cs="Times New Roman"/>
          <w:sz w:val="28"/>
          <w:szCs w:val="28"/>
        </w:rPr>
        <w:t xml:space="preserve"> Данная стратегия была актуализирована в </w:t>
      </w:r>
      <w:r w:rsidR="00DB65E9" w:rsidRPr="00DB65E9">
        <w:rPr>
          <w:rFonts w:ascii="Times New Roman" w:hAnsi="Times New Roman" w:cs="Times New Roman"/>
          <w:sz w:val="28"/>
          <w:szCs w:val="28"/>
        </w:rPr>
        <w:t>I квартале 2021 года</w:t>
      </w:r>
      <w:r w:rsidR="00AC7A4B">
        <w:rPr>
          <w:rFonts w:ascii="Times New Roman" w:hAnsi="Times New Roman" w:cs="Times New Roman"/>
          <w:sz w:val="28"/>
          <w:szCs w:val="28"/>
        </w:rPr>
        <w:t xml:space="preserve"> для приведения её</w:t>
      </w:r>
      <w:r w:rsidR="00DB65E9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DB65E9" w:rsidRPr="00DB65E9">
        <w:rPr>
          <w:rFonts w:ascii="Times New Roman" w:hAnsi="Times New Roman" w:cs="Times New Roman"/>
          <w:sz w:val="28"/>
          <w:szCs w:val="28"/>
        </w:rPr>
        <w:t>актуальным государственным приоритетам, тенденциям и вызовам в сфере космической деятельности</w:t>
      </w:r>
      <w:r w:rsidR="00E46535">
        <w:rPr>
          <w:rFonts w:ascii="Times New Roman" w:hAnsi="Times New Roman" w:cs="Times New Roman"/>
          <w:sz w:val="28"/>
          <w:szCs w:val="28"/>
        </w:rPr>
        <w:t>. Была проведена работа п</w:t>
      </w:r>
      <w:r w:rsidR="00BA1E02">
        <w:rPr>
          <w:rFonts w:ascii="Times New Roman" w:hAnsi="Times New Roman" w:cs="Times New Roman"/>
          <w:sz w:val="28"/>
          <w:szCs w:val="28"/>
        </w:rPr>
        <w:t>о совершенствованию системы стратегического планирования</w:t>
      </w:r>
      <w:r w:rsidR="00E46535">
        <w:rPr>
          <w:rFonts w:ascii="Times New Roman" w:hAnsi="Times New Roman" w:cs="Times New Roman"/>
          <w:sz w:val="28"/>
          <w:szCs w:val="28"/>
        </w:rPr>
        <w:t xml:space="preserve">. </w:t>
      </w:r>
      <w:r w:rsidR="00BA1E02">
        <w:rPr>
          <w:rFonts w:ascii="Times New Roman" w:hAnsi="Times New Roman" w:cs="Times New Roman"/>
          <w:sz w:val="28"/>
          <w:szCs w:val="28"/>
        </w:rPr>
        <w:t>Взамен нескольких</w:t>
      </w:r>
      <w:r w:rsidR="00E46535">
        <w:rPr>
          <w:rFonts w:ascii="Times New Roman" w:hAnsi="Times New Roman" w:cs="Times New Roman"/>
          <w:sz w:val="28"/>
          <w:szCs w:val="28"/>
        </w:rPr>
        <w:t xml:space="preserve"> </w:t>
      </w:r>
      <w:r w:rsidR="00BA1E02">
        <w:rPr>
          <w:rFonts w:ascii="Times New Roman" w:hAnsi="Times New Roman" w:cs="Times New Roman"/>
          <w:sz w:val="28"/>
          <w:szCs w:val="28"/>
        </w:rPr>
        <w:t>отдельных</w:t>
      </w:r>
      <w:r w:rsidR="00E46535">
        <w:rPr>
          <w:rFonts w:ascii="Times New Roman" w:hAnsi="Times New Roman" w:cs="Times New Roman"/>
          <w:sz w:val="28"/>
          <w:szCs w:val="28"/>
        </w:rPr>
        <w:t xml:space="preserve"> федеральных целевых программ</w:t>
      </w:r>
      <w:r w:rsidR="00EC75AF">
        <w:rPr>
          <w:rFonts w:ascii="Times New Roman" w:hAnsi="Times New Roman" w:cs="Times New Roman"/>
          <w:sz w:val="28"/>
          <w:szCs w:val="28"/>
        </w:rPr>
        <w:t xml:space="preserve"> </w:t>
      </w:r>
      <w:r w:rsidR="00BA1E02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E46535">
        <w:rPr>
          <w:rFonts w:ascii="Times New Roman" w:hAnsi="Times New Roman" w:cs="Times New Roman"/>
          <w:sz w:val="28"/>
          <w:szCs w:val="28"/>
        </w:rPr>
        <w:t xml:space="preserve">переход к </w:t>
      </w:r>
      <w:r w:rsidR="00E46535">
        <w:rPr>
          <w:rFonts w:ascii="Georgia" w:hAnsi="Georgia"/>
          <w:color w:val="111111"/>
          <w:sz w:val="27"/>
          <w:szCs w:val="27"/>
          <w:shd w:val="clear" w:color="auto" w:fill="FDFDFD"/>
        </w:rPr>
        <w:t> </w:t>
      </w:r>
      <w:r w:rsidR="00BA1E02">
        <w:rPr>
          <w:rFonts w:ascii="Georgia" w:hAnsi="Georgia"/>
          <w:color w:val="111111"/>
          <w:sz w:val="27"/>
          <w:szCs w:val="27"/>
          <w:shd w:val="clear" w:color="auto" w:fill="FDFDFD"/>
        </w:rPr>
        <w:t>единой государственной программе</w:t>
      </w:r>
      <w:r w:rsidR="00E46535">
        <w:rPr>
          <w:rFonts w:ascii="Georgia" w:hAnsi="Georgia"/>
          <w:color w:val="111111"/>
          <w:sz w:val="27"/>
          <w:szCs w:val="27"/>
          <w:shd w:val="clear" w:color="auto" w:fill="FDFDFD"/>
        </w:rPr>
        <w:t xml:space="preserve"> «Космическая деятельность России»</w:t>
      </w:r>
      <w:r w:rsidR="00E46535" w:rsidRPr="00DB65E9">
        <w:rPr>
          <w:rFonts w:ascii="Times New Roman" w:hAnsi="Times New Roman" w:cs="Times New Roman"/>
          <w:sz w:val="28"/>
          <w:szCs w:val="28"/>
        </w:rPr>
        <w:t xml:space="preserve"> </w:t>
      </w:r>
      <w:r w:rsidR="00E46535">
        <w:rPr>
          <w:rFonts w:ascii="Times New Roman" w:hAnsi="Times New Roman" w:cs="Times New Roman"/>
          <w:sz w:val="28"/>
          <w:szCs w:val="28"/>
        </w:rPr>
        <w:t xml:space="preserve">с десятилетним сроком реализации, </w:t>
      </w:r>
      <w:r w:rsidR="00BA1E02">
        <w:rPr>
          <w:rFonts w:ascii="Times New Roman" w:hAnsi="Times New Roman" w:cs="Times New Roman"/>
          <w:sz w:val="28"/>
          <w:szCs w:val="28"/>
        </w:rPr>
        <w:t xml:space="preserve">с </w:t>
      </w:r>
      <w:r w:rsidR="00BA1E02">
        <w:rPr>
          <w:rFonts w:ascii="Georgia" w:hAnsi="Georgia"/>
          <w:color w:val="111111"/>
          <w:sz w:val="27"/>
          <w:szCs w:val="27"/>
          <w:shd w:val="clear" w:color="auto" w:fill="FDFDFD"/>
        </w:rPr>
        <w:t>подпрограммами</w:t>
      </w:r>
      <w:r w:rsidR="00E46535">
        <w:rPr>
          <w:rFonts w:ascii="Georgia" w:hAnsi="Georgia"/>
          <w:color w:val="111111"/>
          <w:sz w:val="27"/>
          <w:szCs w:val="27"/>
          <w:shd w:val="clear" w:color="auto" w:fill="FDFDFD"/>
        </w:rPr>
        <w:t xml:space="preserve"> развития </w:t>
      </w:r>
      <w:r w:rsidR="00BA1E02">
        <w:rPr>
          <w:rFonts w:ascii="Georgia" w:hAnsi="Georgia"/>
          <w:color w:val="111111"/>
          <w:sz w:val="27"/>
          <w:szCs w:val="27"/>
          <w:shd w:val="clear" w:color="auto" w:fill="FDFDFD"/>
        </w:rPr>
        <w:t>по направлениям</w:t>
      </w:r>
      <w:r w:rsidR="00E46535">
        <w:rPr>
          <w:rFonts w:ascii="Georgia" w:hAnsi="Georgia"/>
          <w:color w:val="111111"/>
          <w:sz w:val="27"/>
          <w:szCs w:val="27"/>
          <w:shd w:val="clear" w:color="auto" w:fill="FDFDFD"/>
        </w:rPr>
        <w:t xml:space="preserve"> космической деятельности</w:t>
      </w:r>
      <w:r w:rsidR="00E46535">
        <w:rPr>
          <w:rFonts w:ascii="Times New Roman" w:hAnsi="Times New Roman" w:cs="Times New Roman"/>
          <w:sz w:val="28"/>
          <w:szCs w:val="28"/>
        </w:rPr>
        <w:t xml:space="preserve">. </w:t>
      </w:r>
      <w:r w:rsidR="00DB65E9" w:rsidRPr="00DB65E9">
        <w:rPr>
          <w:rFonts w:ascii="Times New Roman" w:hAnsi="Times New Roman" w:cs="Times New Roman"/>
          <w:sz w:val="28"/>
          <w:szCs w:val="28"/>
        </w:rPr>
        <w:t>[5].</w:t>
      </w:r>
      <w:r w:rsidR="00DE04F2">
        <w:rPr>
          <w:rFonts w:ascii="Times New Roman" w:hAnsi="Times New Roman" w:cs="Times New Roman"/>
          <w:sz w:val="28"/>
          <w:szCs w:val="28"/>
        </w:rPr>
        <w:t xml:space="preserve"> </w:t>
      </w:r>
      <w:r w:rsidR="00BA1E0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DE04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04F2">
        <w:rPr>
          <w:rFonts w:ascii="Times New Roman" w:hAnsi="Times New Roman" w:cs="Times New Roman"/>
          <w:sz w:val="28"/>
          <w:szCs w:val="28"/>
        </w:rPr>
        <w:t xml:space="preserve"> это не </w:t>
      </w:r>
      <w:r w:rsidR="00BA1E02">
        <w:rPr>
          <w:rFonts w:ascii="Times New Roman" w:hAnsi="Times New Roman" w:cs="Times New Roman"/>
          <w:sz w:val="28"/>
          <w:szCs w:val="28"/>
        </w:rPr>
        <w:t>помогло выстроить стройную техническую</w:t>
      </w:r>
      <w:r w:rsidR="00DE04F2">
        <w:rPr>
          <w:rFonts w:ascii="Times New Roman" w:hAnsi="Times New Roman" w:cs="Times New Roman"/>
          <w:sz w:val="28"/>
          <w:szCs w:val="28"/>
        </w:rPr>
        <w:t xml:space="preserve"> политики и стратегии развития</w:t>
      </w:r>
      <w:r w:rsidR="00BA1E02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DE04F2">
        <w:rPr>
          <w:rFonts w:ascii="Times New Roman" w:hAnsi="Times New Roman" w:cs="Times New Roman"/>
          <w:sz w:val="28"/>
          <w:szCs w:val="28"/>
        </w:rPr>
        <w:t xml:space="preserve"> космической отрасли</w:t>
      </w:r>
      <w:r w:rsidR="005D761B">
        <w:rPr>
          <w:rFonts w:ascii="Times New Roman" w:hAnsi="Times New Roman" w:cs="Times New Roman"/>
          <w:sz w:val="28"/>
          <w:szCs w:val="28"/>
        </w:rPr>
        <w:t>.</w:t>
      </w:r>
      <w:r w:rsidR="00DE04F2">
        <w:rPr>
          <w:rFonts w:ascii="Times New Roman" w:hAnsi="Times New Roman" w:cs="Times New Roman"/>
          <w:sz w:val="28"/>
          <w:szCs w:val="28"/>
        </w:rPr>
        <w:t xml:space="preserve"> </w:t>
      </w:r>
      <w:r w:rsidR="005D761B">
        <w:rPr>
          <w:rFonts w:ascii="Times New Roman" w:hAnsi="Times New Roman" w:cs="Times New Roman"/>
          <w:sz w:val="28"/>
          <w:szCs w:val="28"/>
        </w:rPr>
        <w:t>Э</w:t>
      </w:r>
      <w:r w:rsidR="00AC7A4B">
        <w:rPr>
          <w:rFonts w:ascii="Times New Roman" w:hAnsi="Times New Roman" w:cs="Times New Roman"/>
          <w:sz w:val="28"/>
          <w:szCs w:val="28"/>
        </w:rPr>
        <w:t xml:space="preserve">то </w:t>
      </w:r>
      <w:r w:rsidR="00BA1E02">
        <w:rPr>
          <w:rFonts w:ascii="Times New Roman" w:hAnsi="Times New Roman" w:cs="Times New Roman"/>
          <w:sz w:val="28"/>
          <w:szCs w:val="28"/>
        </w:rPr>
        <w:t>привело к повторному пересмотру</w:t>
      </w:r>
      <w:r w:rsidR="005D761B">
        <w:rPr>
          <w:rFonts w:ascii="Times New Roman" w:hAnsi="Times New Roman" w:cs="Times New Roman"/>
          <w:sz w:val="28"/>
          <w:szCs w:val="28"/>
        </w:rPr>
        <w:t xml:space="preserve"> </w:t>
      </w:r>
      <w:r w:rsidR="00BA1E02">
        <w:rPr>
          <w:rFonts w:ascii="Times New Roman" w:hAnsi="Times New Roman" w:cs="Times New Roman"/>
          <w:sz w:val="28"/>
          <w:szCs w:val="28"/>
        </w:rPr>
        <w:t xml:space="preserve">вышеуказанной стратегии </w:t>
      </w:r>
      <w:r w:rsidR="005D761B">
        <w:rPr>
          <w:rFonts w:ascii="Times New Roman" w:hAnsi="Times New Roman" w:cs="Times New Roman"/>
          <w:sz w:val="28"/>
          <w:szCs w:val="28"/>
        </w:rPr>
        <w:t>менее чем за 7 лет после принятия первоначального варианта стратегии</w:t>
      </w:r>
      <w:r w:rsidR="00DE04F2">
        <w:rPr>
          <w:rFonts w:ascii="Times New Roman" w:hAnsi="Times New Roman" w:cs="Times New Roman"/>
          <w:sz w:val="28"/>
          <w:szCs w:val="28"/>
        </w:rPr>
        <w:t xml:space="preserve"> </w:t>
      </w:r>
      <w:r w:rsidR="00DE04F2" w:rsidRPr="00DE04F2">
        <w:rPr>
          <w:rFonts w:ascii="Times New Roman" w:hAnsi="Times New Roman" w:cs="Times New Roman"/>
          <w:sz w:val="28"/>
          <w:szCs w:val="28"/>
        </w:rPr>
        <w:t>[6].</w:t>
      </w:r>
    </w:p>
    <w:p w:rsidR="00822E52" w:rsidRDefault="002D120E" w:rsidP="00EE6682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Классические парадигмы стратегического планирования не предполагают значительного пересмотра стратегии по мере её реализации. </w:t>
      </w:r>
      <w:r w:rsidR="00DB65E9">
        <w:rPr>
          <w:rFonts w:ascii="Times New Roman" w:hAnsi="Times New Roman" w:cs="Times New Roman"/>
          <w:sz w:val="28"/>
          <w:szCs w:val="28"/>
        </w:rPr>
        <w:t>То, что за столь короткий промежуток времени потребовалось обновлять стратегию два раза является подтверждением того, что традиционные методы стратегического планирования в новых условиях дают сбои</w:t>
      </w:r>
      <w:r w:rsidR="00AE7198">
        <w:rPr>
          <w:rFonts w:ascii="Times New Roman" w:hAnsi="Times New Roman" w:cs="Times New Roman"/>
          <w:sz w:val="28"/>
          <w:szCs w:val="28"/>
        </w:rPr>
        <w:t>.</w:t>
      </w:r>
      <w:r w:rsidR="00822E52">
        <w:rPr>
          <w:rFonts w:ascii="Times New Roman" w:hAnsi="Times New Roman" w:cs="Times New Roman"/>
          <w:sz w:val="28"/>
          <w:szCs w:val="28"/>
        </w:rPr>
        <w:t xml:space="preserve"> Вместе с тем, потребность в долгосрочном стратегическом планировании не исчезает,</w:t>
      </w:r>
      <w:r w:rsidR="00394B76">
        <w:rPr>
          <w:rFonts w:ascii="Times New Roman" w:hAnsi="Times New Roman" w:cs="Times New Roman"/>
          <w:sz w:val="28"/>
          <w:szCs w:val="28"/>
        </w:rPr>
        <w:t xml:space="preserve"> необходимо адаптировать систему</w:t>
      </w:r>
      <w:r w:rsidR="00822E52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к изменившимся реалиям.</w:t>
      </w:r>
    </w:p>
    <w:p w:rsidR="00DB65E9" w:rsidRDefault="00AE7198" w:rsidP="00EE6682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может стать внедрение</w:t>
      </w:r>
      <w:r w:rsidR="00DB65E9">
        <w:rPr>
          <w:rFonts w:ascii="Times New Roman" w:hAnsi="Times New Roman" w:cs="Times New Roman"/>
          <w:sz w:val="28"/>
          <w:szCs w:val="28"/>
        </w:rPr>
        <w:t xml:space="preserve"> в ракетно-космической отрасли скользящего стратегического планирования, которое в настоящее время применяется на уровне предприятий </w:t>
      </w:r>
      <w:r w:rsidR="00DB65E9" w:rsidRPr="00DB65E9">
        <w:rPr>
          <w:rFonts w:ascii="Times New Roman" w:hAnsi="Times New Roman" w:cs="Times New Roman"/>
          <w:sz w:val="28"/>
          <w:szCs w:val="28"/>
        </w:rPr>
        <w:t>[3].</w:t>
      </w:r>
      <w:r w:rsidR="008A54A1">
        <w:rPr>
          <w:rFonts w:ascii="Times New Roman" w:hAnsi="Times New Roman" w:cs="Times New Roman"/>
          <w:sz w:val="28"/>
          <w:szCs w:val="28"/>
        </w:rPr>
        <w:t xml:space="preserve"> </w:t>
      </w:r>
      <w:r w:rsidR="006F72D6">
        <w:rPr>
          <w:rFonts w:ascii="Times New Roman" w:hAnsi="Times New Roman" w:cs="Times New Roman"/>
          <w:sz w:val="28"/>
          <w:szCs w:val="28"/>
        </w:rPr>
        <w:t xml:space="preserve">Так как среднесрочное и долгосрочное прогнозирование и планирование затрудненно в условиях турбулентности и неопределённости, переход к скользящему стратегическому планированию в ракетно-космической отрасли позволит </w:t>
      </w:r>
      <w:r w:rsidR="006F72D6">
        <w:rPr>
          <w:rFonts w:ascii="Times New Roman" w:hAnsi="Times New Roman" w:cs="Times New Roman"/>
          <w:sz w:val="28"/>
          <w:szCs w:val="28"/>
        </w:rPr>
        <w:lastRenderedPageBreak/>
        <w:t>адаптировать систему стратегического планирования отрасли под реалии текущего дня. То, что ракетно-космическая отрасль в настоящий момент организована в форме государственной корпорации является дополнительным доводом в пользу перехода к скользящему стратегическому планированию, которое доказало свою эффективность в планировании на уровне организаций. В</w:t>
      </w:r>
      <w:r w:rsidR="0008407F">
        <w:rPr>
          <w:rFonts w:ascii="Times New Roman" w:hAnsi="Times New Roman" w:cs="Times New Roman"/>
          <w:sz w:val="28"/>
          <w:szCs w:val="28"/>
        </w:rPr>
        <w:t>месте с тем, поскольку стратегическое планирование отраслей экономики имеет свою специфику по сравнению со стратегическим планированием на уровне предприятия, для применения скользящего стратегического планирования в ракетно-космической отрасли требуется разработать соответствующие инструменты и механизмы скользящего стратегического планирования отраслей экономики.</w:t>
      </w:r>
    </w:p>
    <w:p w:rsidR="008F2A03" w:rsidRDefault="008F2A03" w:rsidP="008F2A03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8F2A03" w:rsidRDefault="006D40A5" w:rsidP="006D40A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 И. И</w:t>
      </w:r>
      <w:r w:rsidRPr="006D40A5">
        <w:rPr>
          <w:sz w:val="28"/>
          <w:szCs w:val="28"/>
        </w:rPr>
        <w:t>. Стратегическое планирование устойчивого развития космической отрасли и ее рисков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>. канд. эконом</w:t>
      </w:r>
      <w:proofErr w:type="gramStart"/>
      <w:r w:rsidRPr="006D40A5">
        <w:rPr>
          <w:sz w:val="28"/>
          <w:szCs w:val="28"/>
        </w:rPr>
        <w:t>.</w:t>
      </w:r>
      <w:proofErr w:type="gramEnd"/>
      <w:r w:rsidRPr="006D40A5">
        <w:rPr>
          <w:sz w:val="28"/>
          <w:szCs w:val="28"/>
        </w:rPr>
        <w:t xml:space="preserve"> </w:t>
      </w:r>
      <w:proofErr w:type="gramStart"/>
      <w:r w:rsidRPr="006D40A5">
        <w:rPr>
          <w:sz w:val="28"/>
          <w:szCs w:val="28"/>
        </w:rPr>
        <w:t>н</w:t>
      </w:r>
      <w:proofErr w:type="gramEnd"/>
      <w:r w:rsidRPr="006D40A5">
        <w:rPr>
          <w:sz w:val="28"/>
          <w:szCs w:val="28"/>
        </w:rPr>
        <w:t xml:space="preserve">аук. </w:t>
      </w:r>
      <w:r>
        <w:rPr>
          <w:sz w:val="28"/>
          <w:szCs w:val="28"/>
        </w:rPr>
        <w:t>Москва, 2023</w:t>
      </w:r>
      <w:r w:rsidR="008F2A03" w:rsidRPr="00832DD6">
        <w:rPr>
          <w:sz w:val="28"/>
          <w:szCs w:val="28"/>
        </w:rPr>
        <w:t>.</w:t>
      </w:r>
      <w:r w:rsidR="008F2A03" w:rsidRPr="00832DD6">
        <w:rPr>
          <w:kern w:val="36"/>
          <w:sz w:val="28"/>
          <w:szCs w:val="28"/>
        </w:rPr>
        <w:t xml:space="preserve"> [Электронный ресурс]. – Режим доступа:</w:t>
      </w:r>
      <w:r w:rsidR="008F2A03">
        <w:rPr>
          <w:kern w:val="36"/>
          <w:sz w:val="28"/>
          <w:szCs w:val="28"/>
        </w:rPr>
        <w:t xml:space="preserve"> </w:t>
      </w:r>
      <w:r w:rsidRPr="006D40A5">
        <w:rPr>
          <w:kern w:val="36"/>
          <w:sz w:val="28"/>
          <w:szCs w:val="28"/>
        </w:rPr>
        <w:t>https://dissovet.msu.ru/download/79976c7e-11ee-11ee-8ffb-005056b96f20</w:t>
      </w:r>
      <w:r w:rsidR="008F2A03">
        <w:rPr>
          <w:kern w:val="36"/>
          <w:sz w:val="28"/>
          <w:szCs w:val="28"/>
        </w:rPr>
        <w:t xml:space="preserve"> </w:t>
      </w:r>
      <w:r w:rsidR="008F2A03">
        <w:rPr>
          <w:sz w:val="28"/>
          <w:szCs w:val="28"/>
        </w:rPr>
        <w:t>(дат</w:t>
      </w:r>
      <w:r w:rsidR="00EA6947">
        <w:rPr>
          <w:sz w:val="28"/>
          <w:szCs w:val="28"/>
        </w:rPr>
        <w:t>а обращения: 2</w:t>
      </w:r>
      <w:r>
        <w:rPr>
          <w:sz w:val="28"/>
          <w:szCs w:val="28"/>
        </w:rPr>
        <w:t>6</w:t>
      </w:r>
      <w:r w:rsidR="008F2A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2A03">
        <w:rPr>
          <w:sz w:val="28"/>
          <w:szCs w:val="28"/>
        </w:rPr>
        <w:t>02.</w:t>
      </w:r>
      <w:r>
        <w:rPr>
          <w:sz w:val="28"/>
          <w:szCs w:val="28"/>
        </w:rPr>
        <w:t xml:space="preserve"> 2024</w:t>
      </w:r>
      <w:r w:rsidR="008F2A03" w:rsidRPr="00832DD6">
        <w:rPr>
          <w:sz w:val="28"/>
          <w:szCs w:val="28"/>
        </w:rPr>
        <w:t>).</w:t>
      </w:r>
    </w:p>
    <w:p w:rsidR="00B34D72" w:rsidRDefault="009B0A2F" w:rsidP="00090466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B0A2F">
        <w:rPr>
          <w:sz w:val="28"/>
          <w:szCs w:val="28"/>
        </w:rPr>
        <w:t>Купряшин</w:t>
      </w:r>
      <w:proofErr w:type="spellEnd"/>
      <w:r>
        <w:rPr>
          <w:sz w:val="28"/>
          <w:szCs w:val="28"/>
        </w:rPr>
        <w:t xml:space="preserve"> Г. Л.</w:t>
      </w:r>
      <w:r w:rsidR="00090466">
        <w:rPr>
          <w:sz w:val="28"/>
          <w:szCs w:val="28"/>
        </w:rPr>
        <w:t xml:space="preserve"> </w:t>
      </w:r>
      <w:r w:rsidR="00090466" w:rsidRPr="00090466">
        <w:rPr>
          <w:sz w:val="28"/>
          <w:szCs w:val="28"/>
        </w:rPr>
        <w:t xml:space="preserve">“Политико-административные способности государственного управления в условиях турбулентности и неопределенности” (2023) Государственное управление. Электронный вестник, (97), </w:t>
      </w:r>
      <w:proofErr w:type="spellStart"/>
      <w:r w:rsidR="00090466" w:rsidRPr="00090466">
        <w:rPr>
          <w:sz w:val="28"/>
          <w:szCs w:val="28"/>
        </w:rPr>
        <w:t>pp</w:t>
      </w:r>
      <w:proofErr w:type="spellEnd"/>
      <w:r w:rsidR="00090466" w:rsidRPr="00090466">
        <w:rPr>
          <w:sz w:val="28"/>
          <w:szCs w:val="28"/>
        </w:rPr>
        <w:t>. 174–189.</w:t>
      </w:r>
      <w:r w:rsidRPr="009B0A2F">
        <w:rPr>
          <w:sz w:val="28"/>
          <w:szCs w:val="28"/>
        </w:rPr>
        <w:t xml:space="preserve"> </w:t>
      </w:r>
      <w:r w:rsidR="00B34D72" w:rsidRPr="002251A7">
        <w:rPr>
          <w:kern w:val="36"/>
          <w:sz w:val="28"/>
          <w:szCs w:val="28"/>
        </w:rPr>
        <w:t xml:space="preserve">[Электронный ресурс]. – Режим доступа: </w:t>
      </w:r>
      <w:r w:rsidR="00090466" w:rsidRPr="00090466">
        <w:rPr>
          <w:kern w:val="36"/>
          <w:sz w:val="28"/>
          <w:szCs w:val="28"/>
        </w:rPr>
        <w:t>https://spajournal.ru/index.php/spa/article/view/48</w:t>
      </w:r>
      <w:r w:rsidR="002251A7" w:rsidRPr="002251A7">
        <w:rPr>
          <w:kern w:val="36"/>
          <w:sz w:val="28"/>
          <w:szCs w:val="28"/>
        </w:rPr>
        <w:t xml:space="preserve"> </w:t>
      </w:r>
      <w:r w:rsidR="00EA6947">
        <w:rPr>
          <w:sz w:val="28"/>
          <w:szCs w:val="28"/>
        </w:rPr>
        <w:t>(дата обращения: 2</w:t>
      </w:r>
      <w:r w:rsidR="00090466">
        <w:rPr>
          <w:sz w:val="28"/>
          <w:szCs w:val="28"/>
        </w:rPr>
        <w:t>6</w:t>
      </w:r>
      <w:r w:rsidR="00B34D72" w:rsidRPr="002251A7">
        <w:rPr>
          <w:sz w:val="28"/>
          <w:szCs w:val="28"/>
        </w:rPr>
        <w:t>.</w:t>
      </w:r>
      <w:r w:rsidR="00090466">
        <w:rPr>
          <w:sz w:val="28"/>
          <w:szCs w:val="28"/>
        </w:rPr>
        <w:t xml:space="preserve"> </w:t>
      </w:r>
      <w:r w:rsidR="00B34D72" w:rsidRPr="002251A7">
        <w:rPr>
          <w:sz w:val="28"/>
          <w:szCs w:val="28"/>
        </w:rPr>
        <w:t>02.</w:t>
      </w:r>
      <w:r w:rsidR="00090466">
        <w:rPr>
          <w:sz w:val="28"/>
          <w:szCs w:val="28"/>
        </w:rPr>
        <w:t xml:space="preserve"> 2024</w:t>
      </w:r>
      <w:r w:rsidR="00B34D72" w:rsidRPr="002251A7">
        <w:rPr>
          <w:sz w:val="28"/>
          <w:szCs w:val="28"/>
        </w:rPr>
        <w:t>).</w:t>
      </w:r>
    </w:p>
    <w:p w:rsidR="00A74249" w:rsidRPr="00BA5A1B" w:rsidRDefault="00A74249" w:rsidP="00BA5A1B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4249">
        <w:rPr>
          <w:sz w:val="28"/>
          <w:szCs w:val="28"/>
        </w:rPr>
        <w:t xml:space="preserve">Осипов В.А., </w:t>
      </w:r>
      <w:proofErr w:type="spellStart"/>
      <w:r w:rsidRPr="00A74249">
        <w:rPr>
          <w:sz w:val="28"/>
          <w:szCs w:val="28"/>
        </w:rPr>
        <w:t>Красова</w:t>
      </w:r>
      <w:proofErr w:type="spellEnd"/>
      <w:r w:rsidRPr="00A74249">
        <w:rPr>
          <w:sz w:val="28"/>
          <w:szCs w:val="28"/>
        </w:rPr>
        <w:t xml:space="preserve"> Е.В., </w:t>
      </w:r>
      <w:proofErr w:type="spellStart"/>
      <w:r w:rsidRPr="00A74249">
        <w:rPr>
          <w:sz w:val="28"/>
          <w:szCs w:val="28"/>
        </w:rPr>
        <w:t>Вичковский</w:t>
      </w:r>
      <w:proofErr w:type="spellEnd"/>
      <w:r w:rsidRPr="00A74249">
        <w:rPr>
          <w:sz w:val="28"/>
          <w:szCs w:val="28"/>
        </w:rPr>
        <w:t xml:space="preserve"> Н.А. Современные подходы к стратегическому управлению на предприятии в условиях неопределенности // Лидерство и менеджмент. – 2022. – Том 9. – № 4. – С. 1015-1032</w:t>
      </w:r>
      <w:r>
        <w:rPr>
          <w:sz w:val="28"/>
          <w:szCs w:val="28"/>
        </w:rPr>
        <w:t xml:space="preserve">. </w:t>
      </w:r>
      <w:r w:rsidRPr="002251A7">
        <w:rPr>
          <w:kern w:val="36"/>
          <w:sz w:val="28"/>
          <w:szCs w:val="28"/>
        </w:rPr>
        <w:t>[Электронный ресурс]. – Режим доступа:</w:t>
      </w:r>
      <w:r>
        <w:rPr>
          <w:kern w:val="36"/>
          <w:sz w:val="28"/>
          <w:szCs w:val="28"/>
        </w:rPr>
        <w:t xml:space="preserve"> </w:t>
      </w:r>
      <w:hyperlink r:id="rId8" w:history="1">
        <w:r w:rsidR="00BA5A1B" w:rsidRPr="000C2315">
          <w:rPr>
            <w:rStyle w:val="a9"/>
            <w:kern w:val="36"/>
            <w:sz w:val="28"/>
            <w:szCs w:val="28"/>
          </w:rPr>
          <w:t>https://1economic.ru/lib/116639</w:t>
        </w:r>
      </w:hyperlink>
      <w:r w:rsidR="00BA5A1B">
        <w:rPr>
          <w:kern w:val="36"/>
          <w:sz w:val="28"/>
          <w:szCs w:val="28"/>
        </w:rPr>
        <w:t xml:space="preserve"> </w:t>
      </w:r>
      <w:r w:rsidR="00EA6947">
        <w:rPr>
          <w:sz w:val="28"/>
          <w:szCs w:val="28"/>
        </w:rPr>
        <w:t>(дата обращения: 2</w:t>
      </w:r>
      <w:r w:rsidR="00BA5A1B">
        <w:rPr>
          <w:sz w:val="28"/>
          <w:szCs w:val="28"/>
        </w:rPr>
        <w:t>6</w:t>
      </w:r>
      <w:r w:rsidR="00BA5A1B" w:rsidRPr="002251A7">
        <w:rPr>
          <w:sz w:val="28"/>
          <w:szCs w:val="28"/>
        </w:rPr>
        <w:t>.</w:t>
      </w:r>
      <w:r w:rsidR="00BA5A1B">
        <w:rPr>
          <w:sz w:val="28"/>
          <w:szCs w:val="28"/>
        </w:rPr>
        <w:t xml:space="preserve"> </w:t>
      </w:r>
      <w:r w:rsidR="00BA5A1B" w:rsidRPr="002251A7">
        <w:rPr>
          <w:sz w:val="28"/>
          <w:szCs w:val="28"/>
        </w:rPr>
        <w:t>02.</w:t>
      </w:r>
      <w:r w:rsidR="00BA5A1B">
        <w:rPr>
          <w:sz w:val="28"/>
          <w:szCs w:val="28"/>
        </w:rPr>
        <w:t xml:space="preserve"> 2024</w:t>
      </w:r>
      <w:r w:rsidR="00BA5A1B" w:rsidRPr="002251A7">
        <w:rPr>
          <w:sz w:val="28"/>
          <w:szCs w:val="28"/>
        </w:rPr>
        <w:t>).</w:t>
      </w:r>
    </w:p>
    <w:p w:rsidR="00303FB2" w:rsidRDefault="00FE59B4" w:rsidP="00FE59B4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Годовой отчёт </w:t>
      </w:r>
      <w:r w:rsidRPr="00FE59B4">
        <w:rPr>
          <w:sz w:val="28"/>
          <w:szCs w:val="28"/>
        </w:rPr>
        <w:t>Государственной корпорации по космической деятельности «</w:t>
      </w:r>
      <w:proofErr w:type="spellStart"/>
      <w:r w:rsidRPr="00FE59B4">
        <w:rPr>
          <w:sz w:val="28"/>
          <w:szCs w:val="28"/>
        </w:rPr>
        <w:t>Роскосмос</w:t>
      </w:r>
      <w:proofErr w:type="spellEnd"/>
      <w:r w:rsidRPr="00FE59B4">
        <w:rPr>
          <w:sz w:val="28"/>
          <w:szCs w:val="28"/>
        </w:rPr>
        <w:t>» за 2017 год</w:t>
      </w:r>
      <w:r w:rsidR="00303FB2" w:rsidRPr="00832DD6">
        <w:rPr>
          <w:sz w:val="28"/>
          <w:szCs w:val="28"/>
        </w:rPr>
        <w:t>.</w:t>
      </w:r>
      <w:r w:rsidR="00303FB2" w:rsidRPr="00832DD6">
        <w:rPr>
          <w:kern w:val="36"/>
          <w:sz w:val="28"/>
          <w:szCs w:val="28"/>
        </w:rPr>
        <w:t xml:space="preserve"> [Электронный ресурс]. – Режим доступа:</w:t>
      </w:r>
      <w:r w:rsidR="00303FB2">
        <w:rPr>
          <w:kern w:val="36"/>
          <w:sz w:val="28"/>
          <w:szCs w:val="28"/>
        </w:rPr>
        <w:t xml:space="preserve"> </w:t>
      </w:r>
      <w:r w:rsidRPr="00FE59B4">
        <w:rPr>
          <w:kern w:val="36"/>
          <w:sz w:val="28"/>
          <w:szCs w:val="28"/>
        </w:rPr>
        <w:t xml:space="preserve">http://www.roscosmos.ru/media/img/docs/Reports/report.2017.pdf </w:t>
      </w:r>
      <w:r w:rsidR="00EA6947">
        <w:rPr>
          <w:sz w:val="28"/>
          <w:szCs w:val="28"/>
        </w:rPr>
        <w:t>(дата обращения: 2</w:t>
      </w:r>
      <w:r>
        <w:rPr>
          <w:sz w:val="28"/>
          <w:szCs w:val="28"/>
        </w:rPr>
        <w:t>6</w:t>
      </w:r>
      <w:r w:rsidR="00303FB2">
        <w:rPr>
          <w:sz w:val="28"/>
          <w:szCs w:val="28"/>
        </w:rPr>
        <w:t>.</w:t>
      </w:r>
      <w:r>
        <w:rPr>
          <w:sz w:val="28"/>
          <w:szCs w:val="28"/>
        </w:rPr>
        <w:t xml:space="preserve"> 02. 2024</w:t>
      </w:r>
      <w:r w:rsidR="00303FB2" w:rsidRPr="00832DD6">
        <w:rPr>
          <w:sz w:val="28"/>
          <w:szCs w:val="28"/>
        </w:rPr>
        <w:t>).</w:t>
      </w:r>
    </w:p>
    <w:p w:rsidR="00B34D72" w:rsidRDefault="00FE59B4" w:rsidP="00FE59B4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59B4">
        <w:rPr>
          <w:sz w:val="28"/>
          <w:szCs w:val="28"/>
        </w:rPr>
        <w:t>«</w:t>
      </w:r>
      <w:proofErr w:type="spellStart"/>
      <w:r w:rsidRPr="00FE59B4">
        <w:rPr>
          <w:sz w:val="28"/>
          <w:szCs w:val="28"/>
        </w:rPr>
        <w:t>Роскосмос</w:t>
      </w:r>
      <w:proofErr w:type="spellEnd"/>
      <w:r w:rsidRPr="00FE59B4">
        <w:rPr>
          <w:sz w:val="28"/>
          <w:szCs w:val="28"/>
        </w:rPr>
        <w:t>» поэтапно переходит с множества ФЦП на единую госпрограмму</w:t>
      </w:r>
      <w:r w:rsidR="00321755" w:rsidRPr="00832DD6">
        <w:rPr>
          <w:sz w:val="28"/>
          <w:szCs w:val="28"/>
        </w:rPr>
        <w:t>.</w:t>
      </w:r>
      <w:r w:rsidR="00321755" w:rsidRPr="00832DD6">
        <w:rPr>
          <w:kern w:val="36"/>
          <w:sz w:val="28"/>
          <w:szCs w:val="28"/>
        </w:rPr>
        <w:t xml:space="preserve"> [Электронный ресурс]. – Режим доступа:</w:t>
      </w:r>
      <w:r w:rsidR="00321755">
        <w:rPr>
          <w:kern w:val="36"/>
          <w:sz w:val="28"/>
          <w:szCs w:val="28"/>
        </w:rPr>
        <w:t xml:space="preserve"> </w:t>
      </w:r>
      <w:r w:rsidRPr="00FE59B4">
        <w:rPr>
          <w:kern w:val="36"/>
          <w:sz w:val="28"/>
          <w:szCs w:val="28"/>
        </w:rPr>
        <w:t xml:space="preserve">http://government.ru/info/41915/ </w:t>
      </w:r>
      <w:r w:rsidR="00EA6947">
        <w:rPr>
          <w:sz w:val="28"/>
          <w:szCs w:val="28"/>
        </w:rPr>
        <w:t>(дата обращения: 2</w:t>
      </w:r>
      <w:r>
        <w:rPr>
          <w:sz w:val="28"/>
          <w:szCs w:val="28"/>
        </w:rPr>
        <w:t>6</w:t>
      </w:r>
      <w:r w:rsidR="00321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1755">
        <w:rPr>
          <w:sz w:val="28"/>
          <w:szCs w:val="28"/>
        </w:rPr>
        <w:t>02.</w:t>
      </w:r>
      <w:r>
        <w:rPr>
          <w:sz w:val="28"/>
          <w:szCs w:val="28"/>
        </w:rPr>
        <w:t xml:space="preserve"> 2024</w:t>
      </w:r>
      <w:r w:rsidR="00321755" w:rsidRPr="00832DD6">
        <w:rPr>
          <w:sz w:val="28"/>
          <w:szCs w:val="28"/>
        </w:rPr>
        <w:t>).</w:t>
      </w:r>
    </w:p>
    <w:p w:rsidR="00EA6947" w:rsidRDefault="00EA6947" w:rsidP="00EA694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6947">
        <w:rPr>
          <w:sz w:val="28"/>
          <w:szCs w:val="28"/>
        </w:rPr>
        <w:t>Юрий Борисов: «Ракета «Амур-СПГ» и сверхлегкий носитель будут многоразовыми»</w:t>
      </w:r>
      <w:r w:rsidRPr="00832DD6">
        <w:rPr>
          <w:sz w:val="28"/>
          <w:szCs w:val="28"/>
        </w:rPr>
        <w:t>.</w:t>
      </w:r>
      <w:r w:rsidRPr="00832DD6">
        <w:rPr>
          <w:kern w:val="36"/>
          <w:sz w:val="28"/>
          <w:szCs w:val="28"/>
        </w:rPr>
        <w:t xml:space="preserve"> [Электронный ресурс]. – Режим доступа:</w:t>
      </w:r>
      <w:r>
        <w:rPr>
          <w:kern w:val="36"/>
          <w:sz w:val="28"/>
          <w:szCs w:val="28"/>
        </w:rPr>
        <w:t xml:space="preserve"> </w:t>
      </w:r>
      <w:r w:rsidRPr="00EA6947">
        <w:rPr>
          <w:kern w:val="36"/>
          <w:sz w:val="28"/>
          <w:szCs w:val="28"/>
        </w:rPr>
        <w:t xml:space="preserve">http://www.roscosmos.ru/40252/ </w:t>
      </w:r>
      <w:r>
        <w:rPr>
          <w:sz w:val="28"/>
          <w:szCs w:val="28"/>
        </w:rPr>
        <w:t>(дата обращения: 26. 02. 2024</w:t>
      </w:r>
      <w:r w:rsidRPr="00832DD6">
        <w:rPr>
          <w:sz w:val="28"/>
          <w:szCs w:val="28"/>
        </w:rPr>
        <w:t>).</w:t>
      </w:r>
    </w:p>
    <w:p w:rsidR="00EA6947" w:rsidRPr="00FC1B54" w:rsidRDefault="00EA6947" w:rsidP="00EA6947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8F2A03" w:rsidRDefault="008F2A03" w:rsidP="008F2A0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38EB" w:rsidRPr="009D4A5D" w:rsidRDefault="007538EB" w:rsidP="00135194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</w:p>
    <w:sectPr w:rsidR="007538EB" w:rsidRPr="009D4A5D" w:rsidSect="00F12AFD">
      <w:footerReference w:type="default" r:id="rId9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5C" w:rsidRDefault="0073195C" w:rsidP="00704DF7">
      <w:pPr>
        <w:spacing w:after="0" w:line="240" w:lineRule="auto"/>
      </w:pPr>
      <w:r>
        <w:separator/>
      </w:r>
    </w:p>
  </w:endnote>
  <w:endnote w:type="continuationSeparator" w:id="0">
    <w:p w:rsidR="0073195C" w:rsidRDefault="0073195C" w:rsidP="0070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939"/>
      <w:docPartObj>
        <w:docPartGallery w:val="Page Numbers (Bottom of Page)"/>
        <w:docPartUnique/>
      </w:docPartObj>
    </w:sdtPr>
    <w:sdtEndPr/>
    <w:sdtContent>
      <w:p w:rsidR="0073195C" w:rsidRDefault="006D3FC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95C" w:rsidRDefault="007319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5C" w:rsidRDefault="0073195C" w:rsidP="00704DF7">
      <w:pPr>
        <w:spacing w:after="0" w:line="240" w:lineRule="auto"/>
      </w:pPr>
      <w:r>
        <w:separator/>
      </w:r>
    </w:p>
  </w:footnote>
  <w:footnote w:type="continuationSeparator" w:id="0">
    <w:p w:rsidR="0073195C" w:rsidRDefault="0073195C" w:rsidP="0070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505"/>
    <w:multiLevelType w:val="hybridMultilevel"/>
    <w:tmpl w:val="EC00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AFD"/>
    <w:rsid w:val="00053C12"/>
    <w:rsid w:val="0008407F"/>
    <w:rsid w:val="00090466"/>
    <w:rsid w:val="000E31B2"/>
    <w:rsid w:val="001269A4"/>
    <w:rsid w:val="00135194"/>
    <w:rsid w:val="00193B57"/>
    <w:rsid w:val="001E763F"/>
    <w:rsid w:val="002251A7"/>
    <w:rsid w:val="0024728C"/>
    <w:rsid w:val="002924C3"/>
    <w:rsid w:val="002B04DC"/>
    <w:rsid w:val="002D120E"/>
    <w:rsid w:val="00303FB2"/>
    <w:rsid w:val="00321755"/>
    <w:rsid w:val="003520B8"/>
    <w:rsid w:val="00394B76"/>
    <w:rsid w:val="003B2FB2"/>
    <w:rsid w:val="003D581D"/>
    <w:rsid w:val="00441B30"/>
    <w:rsid w:val="004428EF"/>
    <w:rsid w:val="004775DA"/>
    <w:rsid w:val="0048157A"/>
    <w:rsid w:val="004B3311"/>
    <w:rsid w:val="004F5CB1"/>
    <w:rsid w:val="00541ACC"/>
    <w:rsid w:val="00581E30"/>
    <w:rsid w:val="005D761B"/>
    <w:rsid w:val="005E2BDB"/>
    <w:rsid w:val="006801F3"/>
    <w:rsid w:val="006C5B8E"/>
    <w:rsid w:val="006D3FC3"/>
    <w:rsid w:val="006D40A5"/>
    <w:rsid w:val="006F01CE"/>
    <w:rsid w:val="006F72D6"/>
    <w:rsid w:val="0070068B"/>
    <w:rsid w:val="00704DF7"/>
    <w:rsid w:val="00717B39"/>
    <w:rsid w:val="0073195C"/>
    <w:rsid w:val="00734D9E"/>
    <w:rsid w:val="007538EB"/>
    <w:rsid w:val="007860D0"/>
    <w:rsid w:val="007B1787"/>
    <w:rsid w:val="007C7354"/>
    <w:rsid w:val="007F1798"/>
    <w:rsid w:val="00822E52"/>
    <w:rsid w:val="00823CC3"/>
    <w:rsid w:val="008A54A1"/>
    <w:rsid w:val="008F2A03"/>
    <w:rsid w:val="008F2BE3"/>
    <w:rsid w:val="00931B98"/>
    <w:rsid w:val="009B0A2F"/>
    <w:rsid w:val="009D4A5D"/>
    <w:rsid w:val="009F6E35"/>
    <w:rsid w:val="009F7FB2"/>
    <w:rsid w:val="00A26FD8"/>
    <w:rsid w:val="00A74249"/>
    <w:rsid w:val="00AC7A4B"/>
    <w:rsid w:val="00AE7198"/>
    <w:rsid w:val="00B34D72"/>
    <w:rsid w:val="00B94A9A"/>
    <w:rsid w:val="00B94E8B"/>
    <w:rsid w:val="00BA1E02"/>
    <w:rsid w:val="00BA5A1B"/>
    <w:rsid w:val="00C57919"/>
    <w:rsid w:val="00C93207"/>
    <w:rsid w:val="00CB4B2E"/>
    <w:rsid w:val="00CD4F5B"/>
    <w:rsid w:val="00CE3F79"/>
    <w:rsid w:val="00CF0D87"/>
    <w:rsid w:val="00D36D0E"/>
    <w:rsid w:val="00DB65E9"/>
    <w:rsid w:val="00DE04F2"/>
    <w:rsid w:val="00DF2214"/>
    <w:rsid w:val="00E1241A"/>
    <w:rsid w:val="00E157AE"/>
    <w:rsid w:val="00E35731"/>
    <w:rsid w:val="00E46535"/>
    <w:rsid w:val="00E5034B"/>
    <w:rsid w:val="00E80FD0"/>
    <w:rsid w:val="00EA6947"/>
    <w:rsid w:val="00EC75AF"/>
    <w:rsid w:val="00EE6682"/>
    <w:rsid w:val="00F12AFD"/>
    <w:rsid w:val="00FC1B54"/>
    <w:rsid w:val="00FC4178"/>
    <w:rsid w:val="00FD0F0D"/>
    <w:rsid w:val="00FD6015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DF7"/>
  </w:style>
  <w:style w:type="paragraph" w:styleId="a5">
    <w:name w:val="footer"/>
    <w:basedOn w:val="a"/>
    <w:link w:val="a6"/>
    <w:uiPriority w:val="99"/>
    <w:unhideWhenUsed/>
    <w:rsid w:val="0070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4DF7"/>
  </w:style>
  <w:style w:type="paragraph" w:styleId="a7">
    <w:name w:val="footnote text"/>
    <w:basedOn w:val="a"/>
    <w:link w:val="a8"/>
    <w:unhideWhenUsed/>
    <w:rsid w:val="008F2A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8F2A0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8F2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economic.ru/lib/1166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SpEcT@tor</dc:creator>
  <cp:lastModifiedBy>STator</cp:lastModifiedBy>
  <cp:revision>43</cp:revision>
  <cp:lastPrinted>2024-02-26T09:45:00Z</cp:lastPrinted>
  <dcterms:created xsi:type="dcterms:W3CDTF">2023-02-15T21:22:00Z</dcterms:created>
  <dcterms:modified xsi:type="dcterms:W3CDTF">2024-02-27T03:05:00Z</dcterms:modified>
</cp:coreProperties>
</file>