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b w:val="1"/>
          <w:sz w:val="28"/>
        </w:rPr>
      </w:pPr>
      <w:r>
        <w:rPr>
          <w:b w:val="1"/>
          <w:sz w:val="28"/>
        </w:rPr>
        <w:t>Секютеризация как новый механизм поддержки частных космических компаний.</w:t>
      </w:r>
    </w:p>
    <w:p w14:paraId="02000000">
      <w:r>
        <w:rPr>
          <w:b w:val="1"/>
          <w:i w:val="1"/>
        </w:rPr>
        <w:t>Аннотация:</w:t>
      </w:r>
      <w:r>
        <w:t xml:space="preserve"> В данной научной статье исследуются потенциальные преимущества секьюритизации как финансового инструмента в контексте развития российской космической отрасли. Подобно Китаю, Российская Федерация стремится использовать секьюритизацию для снижения рисков, связанных с крупномасштабными космическими проектами, одновременно высвобождая капитал. В настоящем исследовании рассматривается эффективность секьюритизации в решении финансовых проблем, с которыми сталкивается российская космическая отрасль, и ее потенциальное влияние на снижение рисков. </w:t>
      </w:r>
    </w:p>
    <w:p w14:paraId="03000000">
      <w:r>
        <w:rPr>
          <w:b w:val="1"/>
          <w:i w:val="1"/>
        </w:rPr>
        <w:t>Ключевые слова:</w:t>
      </w:r>
      <w:r>
        <w:t xml:space="preserve"> Космическая деятельность, финансовые механизмы, секьютеризация, финансовая система</w:t>
      </w:r>
    </w:p>
    <w:p w14:paraId="04000000"/>
    <w:p w14:paraId="05000000">
      <w:r>
        <w:t>В последние годы космическая отрасль Китая пережила значительный рост, обусловленный значительными инвестициями и достижениями в области технологий. Поскольку этот сектор продолжает развиваться, растёт и потребность в различных финансовых инструментах для поддержки развития космической отрасли, в том числе и в снижении рисков для космонавтики. Одним из потенциальных решений, предлагающее дополнительные средства для высвобождения капитала и снижения рисков, связанных с масштабными космическими проектами, является секьютеризация. В данной статье исследуется роль банковской секьюритизации в контексте развивающейся космической отрасли Китая, анализируется ее потенциальное влияние на снижение рисков в развитии космических проектах.</w:t>
      </w:r>
    </w:p>
    <w:p w14:paraId="06000000">
      <w:r>
        <w:t>Целью данной работы является обоснование эффективности использования механизма секьютеризации в условиях развития космической отрасли в Российской Федерации. Для выполнения цели было сформулировано несколько задач:</w:t>
      </w:r>
    </w:p>
    <w:p w14:paraId="07000000">
      <w:pPr>
        <w:numPr>
          <w:ilvl w:val="0"/>
          <w:numId w:val="1"/>
        </w:numPr>
        <w:ind w:hanging="360" w:left="720"/>
        <w:rPr>
          <w:u w:val="none"/>
        </w:rPr>
      </w:pPr>
      <w:r>
        <w:t>Рассмотреть методические основы финансового рынка в Китае,</w:t>
      </w:r>
    </w:p>
    <w:p w14:paraId="08000000">
      <w:pPr>
        <w:numPr>
          <w:ilvl w:val="0"/>
          <w:numId w:val="1"/>
        </w:numPr>
        <w:ind w:hanging="360" w:left="720"/>
        <w:rPr>
          <w:u w:val="none"/>
        </w:rPr>
      </w:pPr>
      <w:r>
        <w:t>Раскрыть содержание метода поддержки секьютеризации,</w:t>
      </w:r>
    </w:p>
    <w:p w14:paraId="09000000">
      <w:pPr>
        <w:numPr>
          <w:ilvl w:val="0"/>
          <w:numId w:val="1"/>
        </w:numPr>
        <w:ind w:hanging="360" w:left="720"/>
        <w:rPr>
          <w:u w:val="none"/>
        </w:rPr>
      </w:pPr>
      <w:r>
        <w:t xml:space="preserve">Обосновать необходимость использования механизма в российскую финансовую практику, </w:t>
      </w:r>
    </w:p>
    <w:p w14:paraId="0A000000">
      <w:pPr>
        <w:numPr>
          <w:ilvl w:val="0"/>
          <w:numId w:val="1"/>
        </w:numPr>
        <w:ind w:hanging="360" w:left="720"/>
        <w:rPr>
          <w:u w:val="none"/>
        </w:rPr>
      </w:pPr>
      <w:r>
        <w:t>Разработать методы по внедрению данного механизма в российскую практику.</w:t>
      </w:r>
    </w:p>
    <w:p w14:paraId="0B000000">
      <w:r>
        <w:t>Данный метод позволит снизить риски, что позволит привлечь большие финансовые средства и развить частную космическую отрасль.</w:t>
      </w:r>
    </w:p>
    <w:p w14:paraId="0C000000">
      <w:r>
        <w:t xml:space="preserve">Частные космические предприятия играют решающую роль в освоении космического пространства. Однако эти предприятия в Китае сталкиваются с серьезными проблемами, такими как трудности с финансированием и получением кредитов, которые сдерживают их рост и развитие. Исходя из этого, помимо основных методов финансирования (получение кредитов, финансирование акционерного капитала, выпуск облигаций, получение государственной поддержки, совершенствование лизинга, факторинга и тому подобное [4]), необходимо и обеспечить механизм снижения рисков, чтобы была возможность преобразовать рисковые активы в форму обращения и совершать финансовые операции на рынке ценных бумаг. </w:t>
      </w:r>
    </w:p>
    <w:p w14:paraId="0D000000">
      <w:r>
        <w:t xml:space="preserve">Механизм секьютеризации предполагает процесс, при котором активы изолируются от компании и передаются отдельной организации [1]. Затем эта организация привлекает средства инвесторов путем выпуска ценных бумаг, обеспеченных этими активами. Эта структура позволяет инвесторам напрямую владеть долей в денежных потоках, генерируемых активами, что в свою очередь позволяет инвесторам получать прибыль посредством торговли посредством получения доступа и торговли к этим активам. </w:t>
      </w:r>
    </w:p>
    <w:p w14:paraId="0E000000">
      <w:r>
        <w:t>Изначально рынок секьютеризации применялся на рынка ипотечного кредитования, однако на сегодняшний день набирает популярность в России. На рынок секьюритизации в 2022 году повлияли экономические факторы, состояние базовых активов и тенденции финансового рынка[2]. Механизмы секьюритизации использовались для оптимизации структуры владения активами в периоды турбулентности. В 2023 году, по мере стабилизации рынков, вероятно, возрастет интерес со стороны инициаторов и инвесторов к сделкам секьюритизации.</w:t>
      </w:r>
    </w:p>
    <w:p w14:paraId="0F000000">
      <w:r>
        <w:t xml:space="preserve">Главной целью для внедрения секьютеризации в финансовую систему России является привести к созданию ценных бумаг, которые будут обеспечены активами, которые представляют собой отдельный тип финансовых инструментов (облегациями и сертификатами)[3]. Темпами развития цифровизации в банковской отрасли определяются такими факторами, как необходимость повышения банками показателей ликвидности, капитала и процентного риска, наличие кредитов, подходящих для секьюритизации, а также взаимосвязь между рыночными ценами и ставки по кредитам.  Данные методы возможны через создание и мотивирование новых финансовых институтов: </w:t>
      </w:r>
      <w:r>
        <w:t xml:space="preserve">сервисер, оригинатор, гаранты, сервисный управляющий и андеррайтер. </w:t>
      </w:r>
      <w:r>
        <w:t xml:space="preserve">На данный момент секьютеризация применяется только в ипотечном кредитовании, но данный момент в китайской практике используется для финансирования китайских частных компаний. </w:t>
      </w:r>
    </w:p>
    <w:p w14:paraId="10000000">
      <w:r>
        <w:t>Основное внимание должно уделиться разработке механизма выбора нового выгодного инвестиционных и финансовых маршрутов путем внедрения рыночно-ориентированного управления проектами, чем является мехагизм секьютеризации. Он позволит частным космическим компаниям приносить доход в долгосрочной перспективе и снизить риски для инвесторов. Акцент делается на привлечении частного капитала для инвестиций, в то время как правительство обеспечивает руководство и надзор. Такой подход особенно актуален для инфраструктурных проектов, которые могут приносить доход частным компаниям, находящимся на ранних стадиях развития в России.</w:t>
      </w:r>
    </w:p>
    <w:p w14:paraId="11000000"/>
    <w:p w14:paraId="12000000"/>
    <w:p w14:paraId="13000000"/>
    <w:p w14:paraId="14000000"/>
    <w:p w14:paraId="15000000"/>
    <w:p w14:paraId="16000000">
      <w:pPr>
        <w:rPr>
          <w:b w:val="1"/>
        </w:rPr>
      </w:pPr>
      <w:r>
        <w:rPr>
          <w:b w:val="1"/>
        </w:rPr>
        <w:t>Список литературы:</w:t>
      </w:r>
    </w:p>
    <w:p w14:paraId="17000000">
      <w:pPr>
        <w:numPr>
          <w:ilvl w:val="0"/>
          <w:numId w:val="2"/>
        </w:numPr>
        <w:ind w:hanging="360" w:left="720"/>
        <w:rPr>
          <w:u w:val="none"/>
        </w:rPr>
      </w:pPr>
      <w:r>
        <w:t>Гордейко С. Г. Парадоксальные перспективы секьюритизации ипотечных кредитов // Энциклопедия российской секьюритизации. М., 2021. С. 85–87.</w:t>
      </w:r>
    </w:p>
    <w:p w14:paraId="18000000">
      <w:pPr>
        <w:numPr>
          <w:ilvl w:val="0"/>
          <w:numId w:val="2"/>
        </w:numPr>
        <w:ind w:hanging="360" w:left="720"/>
        <w:rPr>
          <w:u w:val="none"/>
        </w:rPr>
      </w:pPr>
      <w:r>
        <w:t>Скрипкин Д.Б. «Рынок секьюритизации в 2022 году определили общеэкономические факторы» // Энциклопедия российской секьютеризации. - 2023. - №1. - С. 32.</w:t>
      </w:r>
    </w:p>
    <w:p w14:paraId="19000000">
      <w:pPr>
        <w:numPr>
          <w:ilvl w:val="0"/>
          <w:numId w:val="2"/>
        </w:numPr>
        <w:ind w:hanging="360" w:left="720"/>
        <w:rPr>
          <w:u w:val="none"/>
        </w:rPr>
      </w:pPr>
      <w:r>
        <w:t>Что такое секьюритизация ипотеки и что она значит для потребителя // РБК  [Электронный ресурс] URL: https://realty.rbc.ru/news/61fcd0869a794741bd69d810#p3 (Дата обращения: 03.02.2024).</w:t>
      </w:r>
    </w:p>
    <w:p w14:paraId="1A000000">
      <w:pPr>
        <w:numPr>
          <w:ilvl w:val="0"/>
          <w:numId w:val="2"/>
        </w:numPr>
        <w:ind w:hanging="360" w:left="720"/>
      </w:pPr>
      <w:r>
        <w:rPr>
          <w:rFonts w:ascii="Arial Unicode MS" w:hAnsi="Arial Unicode MS"/>
        </w:rPr>
        <w:t>中国民营企业55种超级融资方式！ // 知于 [Электронный ресурс] URL: https://zhuanlan.zhihu.com/p/625213669 (Дата обращения: 12.02.2024).</w:t>
      </w:r>
    </w:p>
    <w:p w14:paraId="1B000000"/>
    <w:sectPr>
      <w:pgSz w:h="16834" w:w="11909"/>
      <w:pgMar w:bottom="1440" w:footer="720" w:header="720" w:left="1440" w:right="1440" w:top="144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)"/>
      <w:lvlJc w:val="left"/>
      <w:pPr>
        <w:ind w:hanging="360" w:left="720"/>
      </w:pPr>
      <w:rPr>
        <w:u w:val="none"/>
      </w:rPr>
    </w:lvl>
    <w:lvl w:ilvl="1">
      <w:start w:val="1"/>
      <w:numFmt w:val="lowerLetter"/>
      <w:lvlText w:val="%2)"/>
      <w:lvlJc w:val="left"/>
      <w:pPr>
        <w:ind w:hanging="360" w:left="1440"/>
      </w:pPr>
      <w:rPr>
        <w:u w:val="none"/>
      </w:rPr>
    </w:lvl>
    <w:lvl w:ilvl="2">
      <w:start w:val="1"/>
      <w:numFmt w:val="lowerRoman"/>
      <w:lvlText w:val="%3)"/>
      <w:lvlJc w:val="right"/>
      <w:pPr>
        <w:ind w:hanging="360" w:left="2160"/>
      </w:pPr>
      <w:rPr>
        <w:u w:val="none"/>
      </w:rPr>
    </w:lvl>
    <w:lvl w:ilvl="3">
      <w:start w:val="1"/>
      <w:numFmt w:val="decimal"/>
      <w:lvlText w:val="(%4)"/>
      <w:lvlJc w:val="left"/>
      <w:pPr>
        <w:ind w:hanging="360" w:left="2880"/>
      </w:pPr>
      <w:rPr>
        <w:u w:val="none"/>
      </w:rPr>
    </w:lvl>
    <w:lvl w:ilvl="4">
      <w:start w:val="1"/>
      <w:numFmt w:val="lowerLetter"/>
      <w:lvlText w:val="(%5)"/>
      <w:lvlJc w:val="left"/>
      <w:pPr>
        <w:ind w:hanging="360" w:left="3600"/>
      </w:pPr>
      <w:rPr>
        <w:u w:val="none"/>
      </w:rPr>
    </w:lvl>
    <w:lvl w:ilvl="5">
      <w:start w:val="1"/>
      <w:numFmt w:val="lowerRoman"/>
      <w:lvlText w:val="(%6)"/>
      <w:lvlJc w:val="right"/>
      <w:pPr>
        <w:ind w:hanging="360" w:left="432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6480"/>
      </w:pPr>
      <w:rPr>
        <w:u w:val="none"/>
      </w:r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  <w:rPr>
        <w:u w:val="none"/>
      </w:rPr>
    </w:lvl>
    <w:lvl w:ilvl="1">
      <w:start w:val="1"/>
      <w:numFmt w:val="lowerLetter"/>
      <w:lvlText w:val="%2)"/>
      <w:lvlJc w:val="left"/>
      <w:pPr>
        <w:ind w:hanging="360" w:left="1440"/>
      </w:pPr>
      <w:rPr>
        <w:u w:val="none"/>
      </w:rPr>
    </w:lvl>
    <w:lvl w:ilvl="2">
      <w:start w:val="1"/>
      <w:numFmt w:val="lowerRoman"/>
      <w:lvlText w:val="%3)"/>
      <w:lvlJc w:val="right"/>
      <w:pPr>
        <w:ind w:hanging="360" w:left="2160"/>
      </w:pPr>
      <w:rPr>
        <w:u w:val="none"/>
      </w:rPr>
    </w:lvl>
    <w:lvl w:ilvl="3">
      <w:start w:val="1"/>
      <w:numFmt w:val="decimal"/>
      <w:lvlText w:val="(%4)"/>
      <w:lvlJc w:val="left"/>
      <w:pPr>
        <w:ind w:hanging="360" w:left="2880"/>
      </w:pPr>
      <w:rPr>
        <w:u w:val="none"/>
      </w:rPr>
    </w:lvl>
    <w:lvl w:ilvl="4">
      <w:start w:val="1"/>
      <w:numFmt w:val="lowerLetter"/>
      <w:lvlText w:val="(%5)"/>
      <w:lvlJc w:val="left"/>
      <w:pPr>
        <w:ind w:hanging="360" w:left="3600"/>
      </w:pPr>
      <w:rPr>
        <w:u w:val="none"/>
      </w:rPr>
    </w:lvl>
    <w:lvl w:ilvl="5">
      <w:start w:val="1"/>
      <w:numFmt w:val="lowerRoman"/>
      <w:lvlText w:val="(%6)"/>
      <w:lvlJc w:val="right"/>
      <w:pPr>
        <w:ind w:hanging="360" w:left="432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648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Arial" w:hAnsi="Arial"/>
        <w:color w:val="000000"/>
        <w:spacing w:val="0"/>
        <w:sz w:val="22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basedOn w:val="Style_1"/>
    <w:next w:val="Style_1"/>
    <w:link w:val="Style_6_ch"/>
    <w:uiPriority w:val="9"/>
    <w:qFormat/>
    <w:pPr>
      <w:keepNext w:val="1"/>
      <w:keepLines w:val="1"/>
      <w:pageBreakBefore w:val="0"/>
      <w:spacing w:after="80" w:before="320"/>
      <w:ind/>
      <w:outlineLvl w:val="2"/>
    </w:pPr>
    <w:rPr>
      <w:b w:val="0"/>
      <w:color w:val="434343"/>
      <w:sz w:val="28"/>
    </w:rPr>
  </w:style>
  <w:style w:styleId="Style_6_ch" w:type="character">
    <w:name w:val="heading 3"/>
    <w:basedOn w:val="Style_1_ch"/>
    <w:link w:val="Style_6"/>
    <w:rPr>
      <w:b w:val="0"/>
      <w:color w:val="434343"/>
      <w:sz w:val="28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basedOn w:val="Style_1"/>
    <w:next w:val="Style_1"/>
    <w:link w:val="Style_8_ch"/>
    <w:uiPriority w:val="9"/>
    <w:qFormat/>
    <w:pPr>
      <w:keepNext w:val="1"/>
      <w:keepLines w:val="1"/>
      <w:pageBreakBefore w:val="0"/>
      <w:spacing w:after="80" w:before="240"/>
      <w:ind/>
      <w:outlineLvl w:val="4"/>
    </w:pPr>
    <w:rPr>
      <w:color w:val="666666"/>
      <w:sz w:val="22"/>
    </w:rPr>
  </w:style>
  <w:style w:styleId="Style_8_ch" w:type="character">
    <w:name w:val="heading 5"/>
    <w:basedOn w:val="Style_1_ch"/>
    <w:link w:val="Style_8"/>
    <w:rPr>
      <w:color w:val="666666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keepNext w:val="1"/>
      <w:keepLines w:val="1"/>
      <w:pageBreakBefore w:val="0"/>
      <w:spacing w:after="120" w:before="400"/>
      <w:ind/>
      <w:outlineLvl w:val="0"/>
    </w:pPr>
    <w:rPr>
      <w:sz w:val="40"/>
    </w:rPr>
  </w:style>
  <w:style w:styleId="Style_9_ch" w:type="character">
    <w:name w:val="heading 1"/>
    <w:basedOn w:val="Style_1_ch"/>
    <w:link w:val="Style_9"/>
    <w:rPr>
      <w:sz w:val="40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basedOn w:val="Style_1"/>
    <w:next w:val="Style_1"/>
    <w:link w:val="Style_17_ch"/>
    <w:uiPriority w:val="11"/>
    <w:qFormat/>
    <w:pPr>
      <w:keepNext w:val="1"/>
      <w:keepLines w:val="1"/>
      <w:pageBreakBefore w:val="0"/>
      <w:spacing w:after="320" w:before="0"/>
      <w:ind/>
    </w:pPr>
    <w:rPr>
      <w:rFonts w:ascii="Arial" w:hAnsi="Arial"/>
      <w:i w:val="0"/>
      <w:color w:val="666666"/>
      <w:sz w:val="30"/>
    </w:rPr>
  </w:style>
  <w:style w:styleId="Style_17_ch" w:type="character">
    <w:name w:val="Subtitle"/>
    <w:basedOn w:val="Style_1_ch"/>
    <w:link w:val="Style_17"/>
    <w:rPr>
      <w:rFonts w:ascii="Arial" w:hAnsi="Arial"/>
      <w:i w:val="0"/>
      <w:color w:val="666666"/>
      <w:sz w:val="30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basedOn w:val="Style_1"/>
    <w:next w:val="Style_1"/>
    <w:link w:val="Style_19_ch"/>
    <w:uiPriority w:val="10"/>
    <w:qFormat/>
    <w:pPr>
      <w:keepNext w:val="1"/>
      <w:keepLines w:val="1"/>
      <w:pageBreakBefore w:val="0"/>
      <w:spacing w:after="60" w:before="0"/>
      <w:ind/>
    </w:pPr>
    <w:rPr>
      <w:sz w:val="52"/>
    </w:rPr>
  </w:style>
  <w:style w:styleId="Style_19_ch" w:type="character">
    <w:name w:val="Title"/>
    <w:basedOn w:val="Style_1_ch"/>
    <w:link w:val="Style_19"/>
    <w:rPr>
      <w:sz w:val="52"/>
    </w:rPr>
  </w:style>
  <w:style w:styleId="Style_20" w:type="paragraph">
    <w:name w:val="heading 4"/>
    <w:basedOn w:val="Style_1"/>
    <w:next w:val="Style_1"/>
    <w:link w:val="Style_20_ch"/>
    <w:uiPriority w:val="9"/>
    <w:qFormat/>
    <w:pPr>
      <w:keepNext w:val="1"/>
      <w:keepLines w:val="1"/>
      <w:pageBreakBefore w:val="0"/>
      <w:spacing w:after="80" w:before="280"/>
      <w:ind/>
      <w:outlineLvl w:val="3"/>
    </w:pPr>
    <w:rPr>
      <w:color w:val="666666"/>
      <w:sz w:val="24"/>
    </w:rPr>
  </w:style>
  <w:style w:styleId="Style_20_ch" w:type="character">
    <w:name w:val="heading 4"/>
    <w:basedOn w:val="Style_1_ch"/>
    <w:link w:val="Style_20"/>
    <w:rPr>
      <w:color w:val="666666"/>
      <w:sz w:val="24"/>
    </w:rPr>
  </w:style>
  <w:style w:styleId="Style_21" w:type="paragraph">
    <w:name w:val="heading 2"/>
    <w:basedOn w:val="Style_1"/>
    <w:next w:val="Style_1"/>
    <w:link w:val="Style_21_ch"/>
    <w:uiPriority w:val="9"/>
    <w:qFormat/>
    <w:pPr>
      <w:keepNext w:val="1"/>
      <w:keepLines w:val="1"/>
      <w:pageBreakBefore w:val="0"/>
      <w:spacing w:after="120" w:before="360"/>
      <w:ind/>
      <w:outlineLvl w:val="1"/>
    </w:pPr>
    <w:rPr>
      <w:b w:val="0"/>
      <w:sz w:val="32"/>
    </w:rPr>
  </w:style>
  <w:style w:styleId="Style_21_ch" w:type="character">
    <w:name w:val="heading 2"/>
    <w:basedOn w:val="Style_1_ch"/>
    <w:link w:val="Style_21"/>
    <w:rPr>
      <w:b w:val="0"/>
      <w:sz w:val="32"/>
    </w:rPr>
  </w:style>
  <w:style w:styleId="Style_22" w:type="paragraph">
    <w:name w:val="heading 6"/>
    <w:basedOn w:val="Style_1"/>
    <w:next w:val="Style_1"/>
    <w:link w:val="Style_22_ch"/>
    <w:uiPriority w:val="9"/>
    <w:qFormat/>
    <w:pPr>
      <w:keepNext w:val="1"/>
      <w:keepLines w:val="1"/>
      <w:pageBreakBefore w:val="0"/>
      <w:spacing w:after="80" w:before="240"/>
      <w:ind/>
      <w:outlineLvl w:val="5"/>
    </w:pPr>
    <w:rPr>
      <w:i w:val="1"/>
      <w:color w:val="666666"/>
      <w:sz w:val="22"/>
    </w:rPr>
  </w:style>
  <w:style w:styleId="Style_22_ch" w:type="character">
    <w:name w:val="heading 6"/>
    <w:basedOn w:val="Style_1_ch"/>
    <w:link w:val="Style_22"/>
    <w:rPr>
      <w:i w:val="1"/>
      <w:color w:val="666666"/>
      <w:sz w:val="22"/>
    </w:rPr>
  </w:style>
  <w:style w:default="1" w:styleId="Style_23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2024-02-16T10:50:15Z</dcterms:modified>
</cp:coreProperties>
</file>