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Искусствоведческая терминология как объект языковой политики ИРИ в области образования</w:t>
      </w:r>
    </w:p>
    <w:p>
      <w:pPr>
        <w:ind w:firstLine="567"/>
        <w:contextualSpacing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>Анохина Александра Андреевна</w:t>
      </w:r>
    </w:p>
    <w:p>
      <w:pPr>
        <w:ind w:firstLine="567"/>
        <w:contextualSpacing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 xml:space="preserve">Студентка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>3</w:t>
      </w: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 xml:space="preserve"> курса бакалавриата</w:t>
      </w:r>
    </w:p>
    <w:p>
      <w:pPr>
        <w:ind w:firstLine="567"/>
        <w:contextualSpacing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Московский государственный университет имени М. В.Ломоносова,</w:t>
      </w:r>
    </w:p>
    <w:p>
      <w:pPr>
        <w:ind w:firstLine="567"/>
        <w:contextualSpacing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Институт стран Азии и Африки,</w:t>
      </w:r>
    </w:p>
    <w:p>
      <w:pPr>
        <w:ind w:firstLine="567"/>
        <w:contextualSpacing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Москва, Россия</w:t>
      </w:r>
    </w:p>
    <w:p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 xml:space="preserve">E-mail: </w:t>
      </w:r>
      <w:r>
        <w:fldChar w:fldCharType="begin"/>
      </w:r>
      <w:r>
        <w:instrText xml:space="preserve"> HYPERLINK "file:///C:\\Users\\agrom\\Downloads\\Telegram%20Desktop\\sandra123anohina@yandex.ru"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sandra123anohina@yandex.ru</w:t>
      </w:r>
      <w:r>
        <w:rPr>
          <w:rStyle w:val="5"/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fldChar w:fldCharType="end"/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Активное изучение западного искусства началось в Иране с 1930-х гг., что привело к 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 xml:space="preserve">резкому расширению соответствующего сегмента персидского лексического фонда за счет </w:t>
      </w:r>
      <w:r>
        <w:rPr>
          <w:rFonts w:ascii="Times New Roman" w:hAnsi="Times New Roman" w:cs="Times New Roman"/>
          <w:sz w:val="24"/>
          <w:szCs w:val="24"/>
          <w:lang w:val="ru-RU"/>
        </w:rPr>
        <w:t>заимствований-европеизмов, прежде всего материальных (</w:t>
      </w:r>
      <w:r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При анализе вовлеченности персидского в языковые контакты на современном этапе отмечается доминирование английского [6], что можно видеть на многочисленных примерах названий художественных стилей (1). В XIX в. среди заимствований в различных предметных и профессиональных сферах, в том числе, культуры и искусства [1], превалировали галлицизмы, используемые для обозначения художественных приёмов, 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 xml:space="preserve">стилей и </w:t>
      </w:r>
      <w:r>
        <w:rPr>
          <w:rFonts w:ascii="Times New Roman" w:hAnsi="Times New Roman" w:cs="Times New Roman"/>
          <w:sz w:val="24"/>
          <w:szCs w:val="24"/>
          <w:lang w:val="ru-RU"/>
        </w:rPr>
        <w:t>архитектурных элементов (2)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>, а также итальянизмов, необходимых, например,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описания техник живописи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 xml:space="preserve"> (3).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هایپررئالیسم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hāyperre’ālism ‘гиперреализм’,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رمانتیسیسم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romāntisism ‘романтизм’,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هنر پاپ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honar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pāp ‘поп-арт’;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lang w:val="ru-RU"/>
        </w:rPr>
        <w:t>سنتوری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santuri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‘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>фронтон</w:t>
      </w:r>
      <w:r>
        <w:rPr>
          <w:rFonts w:ascii="Times New Roman" w:hAnsi="Times New Roman" w:cs="Times New Roman"/>
          <w:sz w:val="24"/>
          <w:szCs w:val="24"/>
          <w:lang w:val="ru-RU"/>
        </w:rPr>
        <w:t>’,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آمفی تئاتر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āmfite’ātr ‘амфитеатр’,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باروک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bārok ‘барокко’, 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آبستره</w:t>
      </w:r>
      <w:r>
        <w:rPr>
          <w:rFonts w:ascii="Times New Roman" w:hAnsi="Times New Roman" w:cs="Times New Roman"/>
          <w:sz w:val="24"/>
          <w:szCs w:val="24"/>
          <w:lang w:val="ru-RU"/>
        </w:rPr>
        <w:t>āb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stre ‘абстракционизм’,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آوانگارد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āvāngārd ‘авангардизм’,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سوررئالیسم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surre’ālism ‘сюрреализм’;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کیاروسکورو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kiyāroskoro ‘светотень’, 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آلاپریما</w:t>
      </w:r>
      <w:r>
        <w:rPr>
          <w:rFonts w:ascii="Times New Roman" w:hAnsi="Times New Roman" w:cs="Times New Roman"/>
          <w:sz w:val="24"/>
          <w:szCs w:val="24"/>
          <w:lang w:val="ru-RU"/>
        </w:rPr>
        <w:t>ālāprimā ‘алла прима’.</w:t>
      </w:r>
    </w:p>
    <w:p>
      <w:pPr>
        <w:ind w:firstLine="567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Регулирование терминологии, создание и внедрение исконно персидского терминологического аппарата является частью политики языкового пуризма, за проведение которой отвечает Академия персидского языка Фархангестан [3; 6]. В отличие от новых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исконных по происхождению лингвистических терминов, рассмотренных в [2], искусствоведческая терминология еще не становилась предметом специального исследования. Анализ ее структурных особенностей и соотношение MAT и PAT являются целью нашей работы.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Среди «Тысячи </w:t>
      </w:r>
      <w:r>
        <w:rPr>
          <w:rFonts w:ascii="Times New Roman" w:hAnsi="Times New Roman" w:cs="Times New Roman"/>
          <w:sz w:val="24"/>
          <w:szCs w:val="24"/>
          <w:lang w:val="ru-RU"/>
        </w:rPr>
        <w:t>терминов по искусству» [4]</w:t>
      </w:r>
      <w:r>
        <w:rPr>
          <w:rFonts w:ascii="Times New Roman" w:hAnsi="Times New Roman" w:eastAsia="SimSun" w:cs="Times New Roman"/>
          <w:sz w:val="24"/>
          <w:szCs w:val="24"/>
          <w:lang w:val="ru-RU" w:eastAsia="ru-RU"/>
        </w:rPr>
        <w:t xml:space="preserve">, созданных в результате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специального комитета Академии Фархангестан,</w:t>
      </w:r>
      <w:r>
        <w:rPr>
          <w:rFonts w:ascii="Times New Roman" w:hAnsi="Times New Roman" w:eastAsia="SimSun" w:cs="Times New Roman"/>
          <w:sz w:val="24"/>
          <w:szCs w:val="24"/>
          <w:lang w:val="ru-RU" w:eastAsia="ru-RU" w:bidi="fa-IR"/>
        </w:rPr>
        <w:t xml:space="preserve"> представлены </w:t>
      </w:r>
      <w:r>
        <w:rPr>
          <w:rFonts w:ascii="Times New Roman" w:hAnsi="Times New Roman" w:cs="Times New Roman"/>
          <w:sz w:val="24"/>
          <w:szCs w:val="24"/>
          <w:lang w:val="ru-RU"/>
        </w:rPr>
        <w:t>семантические, словообразовательные и фразеологические кальки (PAT) для обозначения архитектурных и художественных стилей (4), культурно-исторических эпох (5) и техник живописи (6), которые существуют в языке наряду с заимствованиями: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rtl/>
          <w:cs/>
          <w:lang w:val="ru-RU"/>
        </w:rPr>
      </w:pPr>
      <w:r>
        <w:rPr>
          <w:rFonts w:ascii="Times New Roman" w:hAnsi="Times New Roman" w:cs="Times New Roman"/>
          <w:sz w:val="24"/>
          <w:szCs w:val="24"/>
          <w:rtl/>
          <w:cs/>
        </w:rPr>
        <w:t>ساختگرایی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xtgar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‘конструктивизм’</w:t>
      </w:r>
      <w:r>
        <w:rPr>
          <w:rFonts w:ascii="Times New Roman" w:hAnsi="Times New Roman" w:eastAsia="Yu Gothic UI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نمادگرایی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namādgarā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i ‘символизм’,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مکعب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گرایی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moka</w:t>
      </w:r>
      <w:r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abgar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‘кубизм’;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rtl/>
          <w:cs/>
        </w:rPr>
        <w:t>نوزایی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nouz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‘Ренессанс’,</w:t>
      </w:r>
      <w:r>
        <w:rPr>
          <w:rFonts w:ascii="Times New Roman" w:hAnsi="Times New Roman" w:cs="Times New Roman"/>
          <w:color w:val="auto"/>
          <w:sz w:val="24"/>
          <w:szCs w:val="24"/>
          <w:rtl/>
          <w:lang w:val="ru-RU"/>
        </w:rPr>
        <w:t>سبک انتزاعی یا آبستره</w:t>
      </w:r>
      <w:r>
        <w:rPr>
          <w:rFonts w:hint="cs" w:ascii="Times New Roman" w:hAnsi="Times New Roman" w:cs="Times New Roman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sabk-e entezā'i yā āb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stre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‘абстракционизм’</w:t>
      </w:r>
      <w:r>
        <w:rPr>
          <w:rFonts w:ascii="Times New Roman" w:hAnsi="Times New Roman" w:cs="Times New Roman"/>
          <w:color w:val="7030A0"/>
          <w:sz w:val="24"/>
          <w:szCs w:val="24"/>
          <w:lang w:val="ru-RU" w:bidi="fa-IR"/>
        </w:rPr>
        <w:t>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روشن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سایه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sāyero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šan ‘светотень’,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ژرفانمایی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žarfānamā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>i ‘перспектива’ .</w:t>
      </w:r>
    </w:p>
    <w:p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 w:bidi="fa-IR"/>
        </w:rPr>
        <w:t xml:space="preserve">Объектом данного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исследования стали искусствоведческие термины MAT и PAT в официальных (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) и неофициальных (</w:t>
      </w: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) источниках: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ирански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школьные учебники по истории и теории искусства (в свободном доступе на </w:t>
      </w:r>
      <w:r>
        <w:fldChar w:fldCharType="begin"/>
      </w:r>
      <w:r>
        <w:instrText xml:space="preserve"> HYPERLINK "http://www.chap.sch.ir/)"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http://www.chap.sch.ir/)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>
      <w:pPr>
        <w:ind w:firstLine="567"/>
        <w:contextualSpacing/>
        <w:jc w:val="both"/>
        <w:rPr>
          <w:rFonts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>) научно-популярные текстовые и видео материалы по истории и теории живописи на новостных сайтах (</w:t>
      </w:r>
      <w:r>
        <w:fldChar w:fldCharType="begin"/>
      </w:r>
      <w:r>
        <w:instrText xml:space="preserve"> HYPERLINK "https://rasekhoon.net/article/431/"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https://rasekhoon.net/article/431/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), на тематических ресурсах по истории мира (</w:t>
      </w:r>
      <w:r>
        <w:fldChar w:fldCharType="begin"/>
      </w:r>
      <w:r>
        <w:instrText xml:space="preserve"> HYPERLINK "https://tarikhema.org/"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https://tarikhema.org/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по живописи и архитектуре (</w:t>
      </w:r>
      <w:r>
        <w:fldChar w:fldCharType="begin"/>
      </w:r>
      <w:r>
        <w:instrText xml:space="preserve"> HYPERLINK "https://karimzabet.com/"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https://karimzabet.com/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по истории искусства и о живописных техниках (</w:t>
      </w:r>
      <w:r>
        <w:fldChar w:fldCharType="begin"/>
      </w:r>
      <w:r>
        <w:instrText xml:space="preserve"> HYPERLINK "http://www.naghashbashi.com/"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http://www.naghashbashi.com/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fldChar w:fldCharType="begin"/>
      </w:r>
      <w:r>
        <w:instrText xml:space="preserve"> HYPERLINK "https://tarjomer.com/blog/art-terms/"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https://tarjomer.com/blog/art-terms/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 HYPERLINK "https://www.youtube.com/@leiloonart"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https://www.youtube.com/@leiloonart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Сравнение терминологии, используемой в официальных и неофициальных источниках, позволяет выявить некоторые факторы, влияющие на создание и функционирование терминов-неологизмов: регистр и – весьма прогнозируемо – жанр текста, в котором они используются; фонетико-графическая адаптированность,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морфосинтаксическая </w:t>
      </w:r>
      <w:r>
        <w:rPr>
          <w:rFonts w:ascii="Times New Roman" w:hAnsi="Times New Roman" w:cs="Times New Roman"/>
          <w:sz w:val="24"/>
          <w:szCs w:val="24"/>
          <w:lang w:val="ru-RU"/>
        </w:rPr>
        <w:t>и стилистическая освоенность уже имеющегося термина-</w:t>
      </w:r>
      <w:r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  <w:lang w:val="ru-RU"/>
        </w:rPr>
        <w:t>, степень авторской свободы в выборе терминов и наличие (или отсутствие) редакторской правки.</w:t>
      </w:r>
    </w:p>
    <w:p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школьных учебниках можно наглядно проследить сам механизм введения в оборот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терминов-неологизмов с целью их дальнейшего укоренения в языке. Так, в учебнике «История мирового искусства» [5]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термины-неологизмы PAT приводятся вместе аналогом-MAT, то есть ранее вошедшим в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персидский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лексикон и потому хорошо адаптированным европеизмом более высокой частотности.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Подсчет соотношения терминов разного типа</w:t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показал, что из 162 искусствоведческих терминов, 49 образованы с использованием калькирования (7), 42 являются материальными заимствованиями (8), 52 – термины, созданные из исконного языкового материала (словосложение + аффиксация/ префиксация или фразовые сочетания) (9), 19 - терминологизированные слова общей лексики (10).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محراب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mehrāb ‘апсида’,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مفهومی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هنر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honar-e mafhumi ‘концептуальное искусство’,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شمایل نگاری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māyelnegāri</w:t>
      </w:r>
      <w:r>
        <w:rPr>
          <w:rFonts w:ascii="Times New Roman" w:hAnsi="Times New Roman" w:cs="Times New Roman"/>
          <w:sz w:val="24"/>
          <w:szCs w:val="24"/>
          <w:lang w:val="ru-RU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‘иконопись’,  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طبیعت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گرایی</w:t>
      </w:r>
      <w:r>
        <w:rPr>
          <w:rFonts w:ascii="Times New Roman" w:hAnsi="Times New Roman" w:cs="Times New Roman"/>
          <w:sz w:val="24"/>
          <w:szCs w:val="24"/>
          <w:lang w:val="ru-RU"/>
        </w:rPr>
        <w:t>tabi'atg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rā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>i ‘натурализм’;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cs/>
        </w:rPr>
        <w:t>بازیلیکا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bāzilikā ‘базилика’,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کاتاکومب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kātāko/umb ‘катакомбы‘;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نقاشی منظره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naqqāši-ye manzare ‘пейзаж’,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 xml:space="preserve">سرستون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sarsutun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‘капитель’, 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حجم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پردازی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hajmpardāzi ‘объём’;</w:t>
      </w:r>
    </w:p>
    <w:p>
      <w:pPr>
        <w:pStyle w:val="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fa-IR"/>
        </w:rPr>
      </w:pP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اتاق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tāq ‘комната’, </w:t>
      </w:r>
      <w:r>
        <w:rPr>
          <w:rFonts w:hint="cs"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cs/>
          <w:lang w:val="ru-RU"/>
        </w:rPr>
        <w:t>پنجره</w:t>
      </w:r>
      <w:r>
        <w:rPr>
          <w:rFonts w:ascii="Times New Roman" w:hAnsi="Times New Roman" w:cs="Times New Roman"/>
          <w:sz w:val="24"/>
          <w:szCs w:val="24"/>
          <w:lang w:val="ru-RU"/>
        </w:rPr>
        <w:t>panjere ‘окно’.</w:t>
      </w:r>
    </w:p>
    <w:p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fa-IR"/>
        </w:rPr>
        <w:t>Таким образом можно констатировать, что н</w:t>
      </w:r>
      <w:r>
        <w:rPr>
          <w:rFonts w:ascii="Times New Roman" w:hAnsi="Times New Roman" w:cs="Times New Roman"/>
          <w:sz w:val="24"/>
          <w:szCs w:val="24"/>
          <w:lang w:val="ru-RU"/>
        </w:rPr>
        <w:t>е все заимствованные термины в официальных материалах заменяются на аналоги-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PAT</w:t>
      </w:r>
      <w:r>
        <w:rPr>
          <w:rFonts w:ascii="Times New Roman" w:hAnsi="Times New Roman" w:cs="Times New Roman"/>
          <w:sz w:val="24"/>
          <w:szCs w:val="24"/>
          <w:lang w:val="ru-RU"/>
        </w:rPr>
        <w:t>, что позволяет сделать предварительный вывод о том, что в рамках языковой политики ИРИ – как минимум в сфере терминологии искусства – не производится замена хорошо адаптированных MAT-терминов</w:t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Большее число и меньшая освоенность, в том числе графическая,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прежде всего характерна для авторских текстов, публикуемых на свободных от контроля Академии Фархангестан интернет-ресурсах.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Пейсиков Л.С. Лексикология персидского языка. М., 1975.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Сухоруков А.Н. Лексико-генетическая характеристика лингвистической терминологии персидского языка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ru-RU"/>
        </w:rPr>
        <w:t>Учёные записки Таврического национального университета им. В.И. Вернадского. Филология.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25 (64). № 2.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2. 2012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. 102—108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Akbari F. Iran’s Language Planning Confronting English Abbreviations Persian Terminology Planning.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Cham, 2020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eastAsia="SimSun" w:cs="Times New Roman"/>
          <w:sz w:val="24"/>
          <w:szCs w:val="24"/>
          <w:lang w:val="ru-RU" w:eastAsia="ru-RU" w:bidi="fa-IR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Hezārvāže-ye honar. Tehr</w:t>
      </w:r>
      <w:r>
        <w:rPr>
          <w:rFonts w:ascii="Times New Roman" w:hAnsi="Times New Roman" w:eastAsia="SimSun" w:cs="Times New Roman"/>
          <w:sz w:val="24"/>
          <w:szCs w:val="24"/>
          <w:lang w:val="ru-RU" w:eastAsia="ru-RU"/>
        </w:rPr>
        <w:t>ā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n</w:t>
      </w:r>
      <w:r>
        <w:rPr>
          <w:rFonts w:ascii="Times New Roman" w:hAnsi="Times New Roman" w:eastAsia="SimSun" w:cs="Times New Roman"/>
          <w:sz w:val="24"/>
          <w:szCs w:val="24"/>
          <w:lang w:val="ru-RU" w:eastAsia="ru-RU"/>
        </w:rPr>
        <w:t>, 2020 (1398)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  <w:t>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eastAsia="SimSun" w:cs="Times New Roman"/>
          <w:sz w:val="24"/>
          <w:szCs w:val="24"/>
          <w:lang w:val="ru-RU" w:eastAsia="ru-RU" w:bidi="fa-IR"/>
        </w:rPr>
      </w:pPr>
      <w:r>
        <w:rPr>
          <w:rFonts w:ascii="Times New Roman" w:hAnsi="Times New Roman" w:cs="Times New Roman"/>
          <w:sz w:val="24"/>
          <w:szCs w:val="24"/>
        </w:rPr>
        <w:t>Riyāzi M.-R. Tārix-e honar-e jahān. Tehr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, 1396 (2018).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Oxford Handbook of Persian Linguistics. (ed. Sedighi A.) Oxford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2018.</w:t>
      </w:r>
      <w:bookmarkStart w:id="0" w:name="_GoBack"/>
      <w:bookmarkEnd w:id="0"/>
    </w:p>
    <w:sectPr>
      <w:pgSz w:w="11906" w:h="16838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10B2F"/>
    <w:multiLevelType w:val="multilevel"/>
    <w:tmpl w:val="48510B2F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456626"/>
    <w:multiLevelType w:val="multilevel"/>
    <w:tmpl w:val="64456626"/>
    <w:lvl w:ilvl="0" w:tentative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4739B"/>
    <w:rsid w:val="0004203B"/>
    <w:rsid w:val="000B5AE5"/>
    <w:rsid w:val="000D05BC"/>
    <w:rsid w:val="00134EF1"/>
    <w:rsid w:val="001A4354"/>
    <w:rsid w:val="001C180E"/>
    <w:rsid w:val="001C7106"/>
    <w:rsid w:val="001F572E"/>
    <w:rsid w:val="00257BAA"/>
    <w:rsid w:val="002B5E09"/>
    <w:rsid w:val="00370E02"/>
    <w:rsid w:val="00382C21"/>
    <w:rsid w:val="003E2E60"/>
    <w:rsid w:val="004268CA"/>
    <w:rsid w:val="004E4A30"/>
    <w:rsid w:val="004F0129"/>
    <w:rsid w:val="00536C64"/>
    <w:rsid w:val="00632D93"/>
    <w:rsid w:val="0063310F"/>
    <w:rsid w:val="006A5967"/>
    <w:rsid w:val="00705F83"/>
    <w:rsid w:val="00821632"/>
    <w:rsid w:val="00914A84"/>
    <w:rsid w:val="00981723"/>
    <w:rsid w:val="009860A3"/>
    <w:rsid w:val="00992533"/>
    <w:rsid w:val="009E2D3A"/>
    <w:rsid w:val="009E3BE5"/>
    <w:rsid w:val="00A520A9"/>
    <w:rsid w:val="00A55F17"/>
    <w:rsid w:val="00A91753"/>
    <w:rsid w:val="00A9732B"/>
    <w:rsid w:val="00AF3F28"/>
    <w:rsid w:val="00B73F45"/>
    <w:rsid w:val="00B86A73"/>
    <w:rsid w:val="00C50DE2"/>
    <w:rsid w:val="00CA3326"/>
    <w:rsid w:val="00CE1BB9"/>
    <w:rsid w:val="00D60B40"/>
    <w:rsid w:val="00DC154A"/>
    <w:rsid w:val="00E2461B"/>
    <w:rsid w:val="00E506A7"/>
    <w:rsid w:val="00E90C1A"/>
    <w:rsid w:val="00ED1A21"/>
    <w:rsid w:val="00FA2878"/>
    <w:rsid w:val="0627346F"/>
    <w:rsid w:val="080C1D43"/>
    <w:rsid w:val="09FC572C"/>
    <w:rsid w:val="0B23009E"/>
    <w:rsid w:val="13BA5F29"/>
    <w:rsid w:val="1A8B5A27"/>
    <w:rsid w:val="24186132"/>
    <w:rsid w:val="25092860"/>
    <w:rsid w:val="26201861"/>
    <w:rsid w:val="2D6C5899"/>
    <w:rsid w:val="30D4454F"/>
    <w:rsid w:val="34562142"/>
    <w:rsid w:val="37B0554C"/>
    <w:rsid w:val="40AD053B"/>
    <w:rsid w:val="438B66D9"/>
    <w:rsid w:val="43E70FEB"/>
    <w:rsid w:val="45CA10F4"/>
    <w:rsid w:val="47701792"/>
    <w:rsid w:val="491D19FF"/>
    <w:rsid w:val="4B7A0C49"/>
    <w:rsid w:val="4D58551C"/>
    <w:rsid w:val="554B782F"/>
    <w:rsid w:val="56777D94"/>
    <w:rsid w:val="5B2D58E7"/>
    <w:rsid w:val="5B84739B"/>
    <w:rsid w:val="5D0E09F8"/>
    <w:rsid w:val="5D1F25F9"/>
    <w:rsid w:val="604125C6"/>
    <w:rsid w:val="60CA52E5"/>
    <w:rsid w:val="623B7C9B"/>
    <w:rsid w:val="68BE5D21"/>
    <w:rsid w:val="68EF306C"/>
    <w:rsid w:val="6A2E5C24"/>
    <w:rsid w:val="6D5C2146"/>
    <w:rsid w:val="6DD03926"/>
    <w:rsid w:val="70EC71F7"/>
    <w:rsid w:val="775763E5"/>
    <w:rsid w:val="7C2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17B8-A0E2-4B9C-AF70-FD438E768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5593</Characters>
  <Lines>103</Lines>
  <Paragraphs>41</Paragraphs>
  <TotalTime>42</TotalTime>
  <ScaleCrop>false</ScaleCrop>
  <LinksUpToDate>false</LinksUpToDate>
  <CharactersWithSpaces>6286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2024-02-29T13:51:00Z</dcterms:created>
  <dc:creator>Александра Анохина</dc:creator>
  <cp:lastModifiedBy>Александра Анохина</cp:lastModifiedBy>
  <dcterms:modified xsi:type="dcterms:W3CDTF">2024-02-29T16:26:26Z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BC0DE78AE97846FCBCC2E781C8E86861_13</vt:lpwstr>
  </property>
</Properties>
</file>