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3985" w14:textId="77777777" w:rsidR="00142AE3" w:rsidRPr="00012C72" w:rsidRDefault="00142AE3" w:rsidP="00012C72">
      <w:pPr>
        <w:spacing w:before="20"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139978"/>
      <w:r w:rsidRPr="00012C72">
        <w:rPr>
          <w:rFonts w:ascii="Times New Roman" w:hAnsi="Times New Roman" w:cs="Times New Roman"/>
          <w:b/>
          <w:bCs/>
          <w:sz w:val="24"/>
          <w:szCs w:val="24"/>
        </w:rPr>
        <w:t>Цифровые валюты Центральных банков: опыт Японии</w:t>
      </w:r>
    </w:p>
    <w:p w14:paraId="7EFE4BB3" w14:textId="1AF6EFEA" w:rsidR="00142AE3" w:rsidRPr="00012C72" w:rsidRDefault="00142AE3" w:rsidP="00012C72">
      <w:pPr>
        <w:spacing w:before="20" w:after="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2C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Кисляк Анастасия Андреевна</w:t>
      </w:r>
      <w:r w:rsidR="007D6483" w:rsidRPr="00012C72">
        <w:rPr>
          <w:rStyle w:val="a8"/>
          <w:rFonts w:ascii="Times New Roman" w:hAnsi="Times New Roman" w:cs="Times New Roman"/>
          <w:b/>
          <w:bCs/>
          <w:i/>
          <w:iCs/>
          <w:sz w:val="24"/>
          <w:szCs w:val="24"/>
        </w:rPr>
        <w:footnoteReference w:id="1"/>
      </w:r>
    </w:p>
    <w:p w14:paraId="7CAB0E8E" w14:textId="77777777" w:rsidR="00142AE3" w:rsidRPr="00012C72" w:rsidRDefault="00142AE3" w:rsidP="00012C72">
      <w:pPr>
        <w:spacing w:before="20" w:after="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2C72">
        <w:rPr>
          <w:rFonts w:ascii="Times New Roman" w:hAnsi="Times New Roman" w:cs="Times New Roman"/>
          <w:i/>
          <w:iCs/>
          <w:sz w:val="24"/>
          <w:szCs w:val="24"/>
        </w:rPr>
        <w:t>Студент, 3 курс бакалавриата</w:t>
      </w:r>
    </w:p>
    <w:p w14:paraId="2A2BE760" w14:textId="6964F9E2" w:rsidR="00142AE3" w:rsidRPr="00012C72" w:rsidRDefault="00142AE3" w:rsidP="00012C72">
      <w:pPr>
        <w:spacing w:before="20" w:after="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2C72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012C72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012C72"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7212E58D" w14:textId="71580877" w:rsidR="00142AE3" w:rsidRPr="00012C72" w:rsidRDefault="00142AE3" w:rsidP="00012C72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  <w:r w:rsidRPr="00012C72">
        <w:rPr>
          <w:rFonts w:ascii="Times New Roman" w:hAnsi="Times New Roman" w:cs="Times New Roman"/>
          <w:sz w:val="24"/>
          <w:szCs w:val="24"/>
        </w:rPr>
        <w:t xml:space="preserve">E-mail: </w:t>
      </w:r>
      <w:r w:rsidRPr="00012C72">
        <w:rPr>
          <w:rFonts w:ascii="Times New Roman" w:hAnsi="Times New Roman" w:cs="Times New Roman"/>
          <w:i/>
          <w:iCs/>
          <w:sz w:val="24"/>
          <w:szCs w:val="24"/>
        </w:rPr>
        <w:t>anastasiyakislyak18@gmail.com</w:t>
      </w:r>
    </w:p>
    <w:p w14:paraId="354243DE" w14:textId="1A816BD7" w:rsidR="001F7AD6" w:rsidRPr="00012C72" w:rsidRDefault="001F7AD6" w:rsidP="00012C72">
      <w:pPr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72">
        <w:rPr>
          <w:rFonts w:ascii="Times New Roman" w:hAnsi="Times New Roman" w:cs="Times New Roman"/>
          <w:sz w:val="24"/>
          <w:szCs w:val="24"/>
        </w:rPr>
        <w:t xml:space="preserve">В последние годы финансовые системы стран мира постепенно трансформируются в результате распространения и внедрения новых технологий: технологии распределенного реестра (DLT), больших данных и искусственного интеллекта и др. Технология распределенного реестра, представляя собой по сути универсальную платформу для записи, хранения и передачи информации о финансовых транзакциях, привела к появлению нового быстрорастущего класса активов – </w:t>
      </w:r>
      <w:proofErr w:type="spellStart"/>
      <w:r w:rsidRPr="00012C72">
        <w:rPr>
          <w:rFonts w:ascii="Times New Roman" w:hAnsi="Times New Roman" w:cs="Times New Roman"/>
          <w:sz w:val="24"/>
          <w:szCs w:val="24"/>
        </w:rPr>
        <w:t>криптоактивов</w:t>
      </w:r>
      <w:proofErr w:type="spellEnd"/>
      <w:r w:rsidRPr="00012C72">
        <w:rPr>
          <w:rFonts w:ascii="Times New Roman" w:hAnsi="Times New Roman" w:cs="Times New Roman"/>
          <w:sz w:val="24"/>
          <w:szCs w:val="24"/>
        </w:rPr>
        <w:t>.</w:t>
      </w:r>
    </w:p>
    <w:p w14:paraId="04F5BECF" w14:textId="63318A61" w:rsidR="001F7AD6" w:rsidRPr="00012C72" w:rsidRDefault="001F7AD6" w:rsidP="00012C72">
      <w:pPr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C72">
        <w:rPr>
          <w:rFonts w:ascii="Times New Roman" w:hAnsi="Times New Roman" w:cs="Times New Roman"/>
          <w:sz w:val="24"/>
          <w:szCs w:val="24"/>
        </w:rPr>
        <w:t>Криптоактивы</w:t>
      </w:r>
      <w:proofErr w:type="spellEnd"/>
      <w:r w:rsidRPr="00012C72">
        <w:rPr>
          <w:rFonts w:ascii="Times New Roman" w:hAnsi="Times New Roman" w:cs="Times New Roman"/>
          <w:sz w:val="24"/>
          <w:szCs w:val="24"/>
        </w:rPr>
        <w:t xml:space="preserve"> – широкий класс активов, ключевой особенностью которых является частный характер эмиссии на основе технологии распределенного реестра и криптографии, виртуальная форма и децентрализованная система функционирования.</w:t>
      </w:r>
    </w:p>
    <w:p w14:paraId="62A5C98A" w14:textId="77777777" w:rsidR="001F7AD6" w:rsidRPr="00012C72" w:rsidRDefault="001F7AD6" w:rsidP="00012C72">
      <w:pPr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72">
        <w:rPr>
          <w:rFonts w:ascii="Times New Roman" w:hAnsi="Times New Roman" w:cs="Times New Roman"/>
          <w:sz w:val="24"/>
          <w:szCs w:val="24"/>
        </w:rPr>
        <w:t xml:space="preserve">Цифровые валюты центральных банков (ЦВЦБ) всегда рассматриваются отдельно от всех других </w:t>
      </w:r>
      <w:proofErr w:type="spellStart"/>
      <w:r w:rsidRPr="00012C72">
        <w:rPr>
          <w:rFonts w:ascii="Times New Roman" w:hAnsi="Times New Roman" w:cs="Times New Roman"/>
          <w:sz w:val="24"/>
          <w:szCs w:val="24"/>
        </w:rPr>
        <w:t>криптоактивов</w:t>
      </w:r>
      <w:proofErr w:type="spellEnd"/>
      <w:r w:rsidRPr="00012C72">
        <w:rPr>
          <w:rFonts w:ascii="Times New Roman" w:hAnsi="Times New Roman" w:cs="Times New Roman"/>
          <w:sz w:val="24"/>
          <w:szCs w:val="24"/>
        </w:rPr>
        <w:t xml:space="preserve">, выделяются в самостоятельную группу цифровых активов. т.к. отличаются от последних по характеру своей эмиссии. </w:t>
      </w:r>
    </w:p>
    <w:p w14:paraId="76D325A9" w14:textId="367359C8" w:rsidR="008B226E" w:rsidRPr="00012C72" w:rsidRDefault="001F7AD6" w:rsidP="00012C72">
      <w:pPr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72">
        <w:rPr>
          <w:rFonts w:ascii="Times New Roman" w:hAnsi="Times New Roman" w:cs="Times New Roman"/>
          <w:sz w:val="24"/>
          <w:szCs w:val="24"/>
        </w:rPr>
        <w:t>ЦВЦБ представляют собой</w:t>
      </w:r>
      <w:r w:rsidR="00C903B6" w:rsidRPr="00012C72">
        <w:rPr>
          <w:rFonts w:ascii="Times New Roman" w:hAnsi="Times New Roman" w:cs="Times New Roman"/>
          <w:sz w:val="24"/>
          <w:szCs w:val="24"/>
        </w:rPr>
        <w:t xml:space="preserve"> </w:t>
      </w:r>
      <w:r w:rsidRPr="00012C72">
        <w:rPr>
          <w:rFonts w:ascii="Times New Roman" w:hAnsi="Times New Roman" w:cs="Times New Roman"/>
          <w:sz w:val="24"/>
          <w:szCs w:val="24"/>
        </w:rPr>
        <w:t xml:space="preserve">обязательства центрального банка, публичный характер эмиссии. Обязательства центрального банка по цифровым национальным валютам подобны его   обязательствам   по выпуску современных </w:t>
      </w:r>
      <w:proofErr w:type="spellStart"/>
      <w:r w:rsidRPr="00012C72">
        <w:rPr>
          <w:rFonts w:ascii="Times New Roman" w:hAnsi="Times New Roman" w:cs="Times New Roman"/>
          <w:sz w:val="24"/>
          <w:szCs w:val="24"/>
        </w:rPr>
        <w:t>фиатных</w:t>
      </w:r>
      <w:proofErr w:type="spellEnd"/>
      <w:r w:rsidRPr="00012C72">
        <w:rPr>
          <w:rFonts w:ascii="Times New Roman" w:hAnsi="Times New Roman" w:cs="Times New Roman"/>
          <w:sz w:val="24"/>
          <w:szCs w:val="24"/>
        </w:rPr>
        <w:t xml:space="preserve"> денег со всеми вытекающими из этого потенциальных макро-финансовых и макроэкономических последствий.</w:t>
      </w:r>
    </w:p>
    <w:p w14:paraId="26C40665" w14:textId="1561DA0D" w:rsidR="001F7AD6" w:rsidRPr="00012C72" w:rsidRDefault="001F7AD6" w:rsidP="00012C72">
      <w:pPr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72">
        <w:rPr>
          <w:rFonts w:ascii="Times New Roman" w:hAnsi="Times New Roman" w:cs="Times New Roman"/>
          <w:sz w:val="24"/>
          <w:szCs w:val="24"/>
        </w:rPr>
        <w:t>Цифровые валюты центральных банков (ЦВЦБ) становятся все более актуальными в современном мире финансов и технологий. Интересно отметить, что развивающиеся страны (РС) более активны во внедрении ЦВЦБ. В настоящее время существует 4 реально действующие цифровые национальные валют, и все они находятся в юрисдикциях развивающихся стран (Багамские острова, Организация Восточных карибских государств, Ямайка и Нигерия). Более того, ЦБ РС а целом активнее, чем развитые страны, апробируют две основные модели ЦВЦБ – оптовую и розничную.</w:t>
      </w:r>
    </w:p>
    <w:p w14:paraId="4E0A66A7" w14:textId="77777777" w:rsidR="001F7AD6" w:rsidRPr="00012C72" w:rsidRDefault="001F7AD6" w:rsidP="00012C72">
      <w:pPr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72">
        <w:rPr>
          <w:rFonts w:ascii="Times New Roman" w:hAnsi="Times New Roman" w:cs="Times New Roman"/>
          <w:sz w:val="24"/>
          <w:szCs w:val="24"/>
        </w:rPr>
        <w:t xml:space="preserve">Представляется интересным на примере Японии исследовать факторы, сдерживающие/стимулирующие   освоение развитыми странами некоторых направлений </w:t>
      </w:r>
      <w:proofErr w:type="spellStart"/>
      <w:r w:rsidRPr="00012C72">
        <w:rPr>
          <w:rFonts w:ascii="Times New Roman" w:hAnsi="Times New Roman" w:cs="Times New Roman"/>
          <w:sz w:val="24"/>
          <w:szCs w:val="24"/>
        </w:rPr>
        <w:t>финтеха</w:t>
      </w:r>
      <w:proofErr w:type="spellEnd"/>
      <w:r w:rsidRPr="00012C72">
        <w:rPr>
          <w:rFonts w:ascii="Times New Roman" w:hAnsi="Times New Roman" w:cs="Times New Roman"/>
          <w:sz w:val="24"/>
          <w:szCs w:val="24"/>
        </w:rPr>
        <w:t xml:space="preserve"> в целом, и ЦВЦБ в частности. </w:t>
      </w:r>
    </w:p>
    <w:p w14:paraId="0010E8D1" w14:textId="6011AEC9" w:rsidR="001F7AD6" w:rsidRPr="00012C72" w:rsidRDefault="001F7AD6" w:rsidP="00012C72">
      <w:pPr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72">
        <w:rPr>
          <w:rFonts w:ascii="Times New Roman" w:hAnsi="Times New Roman" w:cs="Times New Roman"/>
          <w:sz w:val="24"/>
          <w:szCs w:val="24"/>
        </w:rPr>
        <w:t>В июле 2020 года, позже многих других стран, Банк Японии объявил о создании рабочей группы для более глубокого изучения цифровой валюты центрального банка, включая вопросы использования цифровой иены в розничной торговле и правовые аспекты выпуска цифровой валюты.</w:t>
      </w:r>
    </w:p>
    <w:p w14:paraId="3212C393" w14:textId="23C04CBB" w:rsidR="001F7AD6" w:rsidRPr="00012C72" w:rsidRDefault="001F7AD6" w:rsidP="00012C72">
      <w:pPr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72">
        <w:rPr>
          <w:rFonts w:ascii="Times New Roman" w:hAnsi="Times New Roman" w:cs="Times New Roman"/>
          <w:sz w:val="24"/>
          <w:szCs w:val="24"/>
        </w:rPr>
        <w:t>Банк Японии не планирует вводить цифровую валюту в ближайшем будущем, но выражает намерение продолжать исследования в этой области.</w:t>
      </w:r>
    </w:p>
    <w:p w14:paraId="048AE2A3" w14:textId="77777777" w:rsidR="00012C72" w:rsidRDefault="001F7AD6" w:rsidP="00012C72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012C72">
        <w:rPr>
          <w:rFonts w:ascii="Times New Roman" w:hAnsi="Times New Roman" w:cs="Times New Roman"/>
          <w:sz w:val="24"/>
          <w:szCs w:val="24"/>
        </w:rPr>
        <w:t xml:space="preserve">Проведенное исследование показало, что подход Японии к созданию цифровой иены во многом определяется такими   особенностями страны, как невысокая скорость перехода населения от наличных к безналичным расчетам (почти равная доля наличных и безналичных платежей физических лиц, даже растущий спрос на наличные деньги в качестве сбережений,) риски возникновения олигополий/монополий в цифровых розничных сетях, которые могут возрасти при появлении цифровой иены, малая изученность общей проблемы влияния ЦВЦБ на экономику и др.  </w:t>
      </w:r>
    </w:p>
    <w:p w14:paraId="6DA8B5B3" w14:textId="5F252C9A" w:rsidR="003855E4" w:rsidRPr="00012C72" w:rsidRDefault="00012C72" w:rsidP="00012C72">
      <w:pPr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5E4" w:rsidRPr="00012C72">
        <w:rPr>
          <w:rFonts w:ascii="Times New Roman" w:hAnsi="Times New Roman" w:cs="Times New Roman"/>
          <w:sz w:val="24"/>
          <w:szCs w:val="24"/>
        </w:rPr>
        <w:t xml:space="preserve">Актуальность данной темы заключается в том, что цифровые валюты центральных банков (ЦВЦБ) представляют собой новое направление в финансовой системе, которое может значительно изменить способы проведения финансовых транзакций и </w:t>
      </w:r>
      <w:r w:rsidR="003855E4" w:rsidRPr="00012C72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взаимодействия между участниками рынка. С развитием технологий и распространением </w:t>
      </w:r>
      <w:proofErr w:type="spellStart"/>
      <w:r w:rsidR="003855E4" w:rsidRPr="00012C72">
        <w:rPr>
          <w:rFonts w:ascii="Times New Roman" w:hAnsi="Times New Roman" w:cs="Times New Roman"/>
          <w:sz w:val="24"/>
          <w:szCs w:val="24"/>
        </w:rPr>
        <w:t>криптоактивов</w:t>
      </w:r>
      <w:proofErr w:type="spellEnd"/>
      <w:r w:rsidR="003855E4" w:rsidRPr="00012C72">
        <w:rPr>
          <w:rFonts w:ascii="Times New Roman" w:hAnsi="Times New Roman" w:cs="Times New Roman"/>
          <w:sz w:val="24"/>
          <w:szCs w:val="24"/>
        </w:rPr>
        <w:t xml:space="preserve">, ЦВЦБ становятся все более актуальными, особенно в развивающихся странах. Исследование факторов, влияющих на внедрение цифровых валют центральных банков, на примере Японии, поможет лучше понять перспективы и риски данной технологии и ее влияние на экономику. </w:t>
      </w:r>
    </w:p>
    <w:p w14:paraId="1F98E784" w14:textId="360218B4" w:rsidR="00C903B6" w:rsidRPr="00012C72" w:rsidRDefault="00C903B6" w:rsidP="00012C72">
      <w:pPr>
        <w:spacing w:before="20" w:after="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72">
        <w:rPr>
          <w:rFonts w:ascii="Times New Roman" w:hAnsi="Times New Roman" w:cs="Times New Roman"/>
          <w:sz w:val="24"/>
          <w:szCs w:val="24"/>
        </w:rPr>
        <w:t>Информационной базой исследования послужили данные официальной открытой мировой статистики, а также статистик Японии,</w:t>
      </w:r>
      <w:r w:rsidR="00784A85" w:rsidRPr="00012C72">
        <w:rPr>
          <w:rFonts w:ascii="Times New Roman" w:hAnsi="Times New Roman" w:cs="Times New Roman"/>
          <w:sz w:val="24"/>
          <w:szCs w:val="24"/>
        </w:rPr>
        <w:t xml:space="preserve"> </w:t>
      </w:r>
      <w:r w:rsidRPr="00012C72">
        <w:rPr>
          <w:rFonts w:ascii="Times New Roman" w:hAnsi="Times New Roman" w:cs="Times New Roman"/>
          <w:sz w:val="24"/>
          <w:szCs w:val="24"/>
        </w:rPr>
        <w:t xml:space="preserve">аналитические материалы по вопросам </w:t>
      </w:r>
      <w:proofErr w:type="spellStart"/>
      <w:r w:rsidRPr="00012C72">
        <w:rPr>
          <w:rFonts w:ascii="Times New Roman" w:hAnsi="Times New Roman" w:cs="Times New Roman"/>
          <w:sz w:val="24"/>
          <w:szCs w:val="24"/>
        </w:rPr>
        <w:t>криптоактивов</w:t>
      </w:r>
      <w:proofErr w:type="spellEnd"/>
      <w:r w:rsidRPr="00012C72">
        <w:rPr>
          <w:rFonts w:ascii="Times New Roman" w:hAnsi="Times New Roman" w:cs="Times New Roman"/>
          <w:sz w:val="24"/>
          <w:szCs w:val="24"/>
        </w:rPr>
        <w:t xml:space="preserve"> Японии, опубликованные на научных сайтах РФ, Японии и другие информационные источники</w:t>
      </w:r>
      <w:r w:rsidR="007D6483" w:rsidRPr="00012C72">
        <w:rPr>
          <w:rFonts w:ascii="Times New Roman" w:hAnsi="Times New Roman" w:cs="Times New Roman"/>
          <w:sz w:val="24"/>
          <w:szCs w:val="24"/>
        </w:rPr>
        <w:t>:</w:t>
      </w:r>
    </w:p>
    <w:p w14:paraId="1A680F8E" w14:textId="5DFEA00C" w:rsidR="0059143B" w:rsidRPr="00012C72" w:rsidRDefault="0059143B" w:rsidP="00012C72">
      <w:pPr>
        <w:pStyle w:val="a3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012C72">
        <w:rPr>
          <w:rFonts w:ascii="Times New Roman" w:hAnsi="Times New Roman" w:cs="Times New Roman"/>
          <w:sz w:val="24"/>
          <w:szCs w:val="24"/>
        </w:rPr>
        <w:t xml:space="preserve">Кочергин Д.А. </w:t>
      </w:r>
      <w:proofErr w:type="spellStart"/>
      <w:r w:rsidRPr="00012C72">
        <w:rPr>
          <w:rFonts w:ascii="Times New Roman" w:hAnsi="Times New Roman" w:cs="Times New Roman"/>
          <w:sz w:val="24"/>
          <w:szCs w:val="24"/>
        </w:rPr>
        <w:t>Криптоактивы</w:t>
      </w:r>
      <w:proofErr w:type="spellEnd"/>
      <w:r w:rsidRPr="00012C72">
        <w:rPr>
          <w:rFonts w:ascii="Times New Roman" w:hAnsi="Times New Roman" w:cs="Times New Roman"/>
          <w:sz w:val="24"/>
          <w:szCs w:val="24"/>
        </w:rPr>
        <w:t>: экономическая природа, классификация и регулирование оборота // Вестник международных организаций. 2022. Т. 17. № 3</w:t>
      </w:r>
    </w:p>
    <w:p w14:paraId="74AF0ED0" w14:textId="5404DFF7" w:rsidR="0059143B" w:rsidRPr="00012C72" w:rsidRDefault="0059143B" w:rsidP="00012C72">
      <w:pPr>
        <w:pStyle w:val="a3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C72">
        <w:rPr>
          <w:rFonts w:ascii="Times New Roman" w:hAnsi="Times New Roman" w:cs="Times New Roman"/>
          <w:sz w:val="24"/>
          <w:szCs w:val="24"/>
          <w:lang w:val="en-US"/>
        </w:rPr>
        <w:t>Financial Digitalization and Regulatory Challenges for Japan</w:t>
      </w:r>
      <w:r w:rsidR="00A61D76" w:rsidRPr="00012C72">
        <w:rPr>
          <w:rStyle w:val="a8"/>
          <w:rFonts w:ascii="Times New Roman" w:hAnsi="Times New Roman" w:cs="Times New Roman"/>
          <w:sz w:val="24"/>
          <w:szCs w:val="24"/>
          <w:lang w:val="en-US"/>
        </w:rPr>
        <w:footnoteReference w:id="2"/>
      </w:r>
    </w:p>
    <w:p w14:paraId="18698A79" w14:textId="51B1D6DF" w:rsidR="00A61D76" w:rsidRPr="00012C72" w:rsidRDefault="00A61D76" w:rsidP="00012C72">
      <w:pPr>
        <w:pStyle w:val="a3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C72">
        <w:rPr>
          <w:rFonts w:ascii="Times New Roman" w:hAnsi="Times New Roman" w:cs="Times New Roman"/>
          <w:sz w:val="24"/>
          <w:szCs w:val="24"/>
          <w:lang w:val="en-US"/>
        </w:rPr>
        <w:t>Bank of Japan trials 'digital yen': Here's what you need to know</w:t>
      </w:r>
      <w:r w:rsidRPr="00012C72">
        <w:rPr>
          <w:rStyle w:val="a8"/>
          <w:rFonts w:ascii="Times New Roman" w:hAnsi="Times New Roman" w:cs="Times New Roman"/>
          <w:sz w:val="24"/>
          <w:szCs w:val="24"/>
          <w:lang w:val="en-US"/>
        </w:rPr>
        <w:footnoteReference w:id="3"/>
      </w:r>
    </w:p>
    <w:p w14:paraId="0DC8791B" w14:textId="07D28EF9" w:rsidR="00A61D76" w:rsidRPr="00012C72" w:rsidRDefault="00A61D76" w:rsidP="00012C72">
      <w:pPr>
        <w:pStyle w:val="a3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C72">
        <w:rPr>
          <w:rFonts w:ascii="Times New Roman" w:hAnsi="Times New Roman" w:cs="Times New Roman"/>
          <w:sz w:val="24"/>
          <w:szCs w:val="24"/>
          <w:lang w:val="en-US"/>
        </w:rPr>
        <w:t>The Release of "The Bank of Japan's Approach to Central Bank Digital Currency</w:t>
      </w:r>
      <w:r w:rsidRPr="00012C72">
        <w:rPr>
          <w:rStyle w:val="a8"/>
          <w:rFonts w:ascii="Times New Roman" w:hAnsi="Times New Roman" w:cs="Times New Roman"/>
          <w:sz w:val="24"/>
          <w:szCs w:val="24"/>
          <w:lang w:val="en-US"/>
        </w:rPr>
        <w:footnoteReference w:id="4"/>
      </w:r>
    </w:p>
    <w:p w14:paraId="2CE246B1" w14:textId="283640B5" w:rsidR="00C903B6" w:rsidRPr="00012C72" w:rsidRDefault="00C903B6" w:rsidP="00012C72">
      <w:pPr>
        <w:spacing w:before="20" w:after="2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C72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47F67830" w14:textId="6BECCF0C" w:rsidR="00C903B6" w:rsidRPr="00012C72" w:rsidRDefault="00830F48" w:rsidP="00012C72">
      <w:pPr>
        <w:spacing w:before="20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C72">
        <w:rPr>
          <w:rFonts w:ascii="Times New Roman" w:hAnsi="Times New Roman" w:cs="Times New Roman"/>
          <w:sz w:val="24"/>
          <w:szCs w:val="24"/>
        </w:rPr>
        <w:t xml:space="preserve">1. </w:t>
      </w:r>
      <w:r w:rsidR="0059143B" w:rsidRPr="00012C72">
        <w:rPr>
          <w:rFonts w:ascii="Times New Roman" w:hAnsi="Times New Roman" w:cs="Times New Roman"/>
          <w:sz w:val="24"/>
          <w:szCs w:val="24"/>
        </w:rPr>
        <w:t xml:space="preserve"> </w:t>
      </w:r>
      <w:r w:rsidR="00C903B6" w:rsidRPr="00012C72">
        <w:rPr>
          <w:rFonts w:ascii="Times New Roman" w:hAnsi="Times New Roman" w:cs="Times New Roman"/>
          <w:sz w:val="24"/>
          <w:szCs w:val="24"/>
        </w:rPr>
        <w:t xml:space="preserve">Кочергин Д.А. </w:t>
      </w:r>
      <w:proofErr w:type="spellStart"/>
      <w:r w:rsidR="00C903B6" w:rsidRPr="00012C72">
        <w:rPr>
          <w:rFonts w:ascii="Times New Roman" w:hAnsi="Times New Roman" w:cs="Times New Roman"/>
          <w:sz w:val="24"/>
          <w:szCs w:val="24"/>
        </w:rPr>
        <w:t>Криптоактивы</w:t>
      </w:r>
      <w:proofErr w:type="spellEnd"/>
      <w:r w:rsidR="00C903B6" w:rsidRPr="00012C72">
        <w:rPr>
          <w:rFonts w:ascii="Times New Roman" w:hAnsi="Times New Roman" w:cs="Times New Roman"/>
          <w:sz w:val="24"/>
          <w:szCs w:val="24"/>
        </w:rPr>
        <w:t xml:space="preserve">: экономическая природа, классификация и регулирование оборота // Вестник международных организаций. </w:t>
      </w:r>
      <w:r w:rsidR="00C903B6" w:rsidRPr="00012C72">
        <w:rPr>
          <w:rFonts w:ascii="Times New Roman" w:hAnsi="Times New Roman" w:cs="Times New Roman"/>
          <w:sz w:val="24"/>
          <w:szCs w:val="24"/>
          <w:lang w:val="en-US"/>
        </w:rPr>
        <w:t xml:space="preserve">2022. </w:t>
      </w:r>
      <w:r w:rsidR="00C903B6" w:rsidRPr="00012C72">
        <w:rPr>
          <w:rFonts w:ascii="Times New Roman" w:hAnsi="Times New Roman" w:cs="Times New Roman"/>
          <w:sz w:val="24"/>
          <w:szCs w:val="24"/>
        </w:rPr>
        <w:t>Т</w:t>
      </w:r>
      <w:r w:rsidR="00C903B6" w:rsidRPr="00012C72">
        <w:rPr>
          <w:rFonts w:ascii="Times New Roman" w:hAnsi="Times New Roman" w:cs="Times New Roman"/>
          <w:sz w:val="24"/>
          <w:szCs w:val="24"/>
          <w:lang w:val="en-US"/>
        </w:rPr>
        <w:t xml:space="preserve">. 17. № 3. </w:t>
      </w:r>
      <w:r w:rsidR="00C903B6" w:rsidRPr="00012C72">
        <w:rPr>
          <w:rFonts w:ascii="Times New Roman" w:hAnsi="Times New Roman" w:cs="Times New Roman"/>
          <w:sz w:val="24"/>
          <w:szCs w:val="24"/>
        </w:rPr>
        <w:t>С</w:t>
      </w:r>
      <w:r w:rsidR="00C903B6" w:rsidRPr="00012C72">
        <w:rPr>
          <w:rFonts w:ascii="Times New Roman" w:hAnsi="Times New Roman" w:cs="Times New Roman"/>
          <w:sz w:val="24"/>
          <w:szCs w:val="24"/>
          <w:lang w:val="en-US"/>
        </w:rPr>
        <w:t xml:space="preserve">. 75-130. </w:t>
      </w:r>
    </w:p>
    <w:p w14:paraId="692C3753" w14:textId="7A42984C" w:rsidR="00C903B6" w:rsidRPr="00012C72" w:rsidRDefault="00830F48" w:rsidP="00012C72">
      <w:pPr>
        <w:spacing w:before="20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C72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59143B" w:rsidRPr="00012C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2C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3B6" w:rsidRPr="00012C72">
        <w:rPr>
          <w:rFonts w:ascii="Times New Roman" w:hAnsi="Times New Roman" w:cs="Times New Roman"/>
          <w:sz w:val="24"/>
          <w:szCs w:val="24"/>
          <w:lang w:val="en-US"/>
        </w:rPr>
        <w:t>Financial Digitalization and Regulatory Challenges for Japan (https://link.springer.com/book/10.1007/978-981-16-7830-1)</w:t>
      </w:r>
    </w:p>
    <w:p w14:paraId="032181AC" w14:textId="7845D20D" w:rsidR="00C903B6" w:rsidRPr="00012C72" w:rsidRDefault="00A61D76" w:rsidP="00012C72">
      <w:pPr>
        <w:spacing w:before="20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C7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30F48" w:rsidRPr="00012C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9143B" w:rsidRPr="00012C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3B6" w:rsidRPr="00012C72">
        <w:rPr>
          <w:rFonts w:ascii="Times New Roman" w:hAnsi="Times New Roman" w:cs="Times New Roman"/>
          <w:sz w:val="24"/>
          <w:szCs w:val="24"/>
          <w:lang w:val="en-US"/>
        </w:rPr>
        <w:t>Bank of Japan trials 'digital yen': Here's what you need to know (https://asia.nikkei.com/Business/Markets/Currencies/Bank-of-Japan-trials-digital-yen-Here-s-what-you-need-to-know)</w:t>
      </w:r>
    </w:p>
    <w:p w14:paraId="474473CF" w14:textId="07CF45E7" w:rsidR="00C903B6" w:rsidRPr="00012C72" w:rsidRDefault="00A61D76" w:rsidP="00012C72">
      <w:pPr>
        <w:spacing w:before="20" w:after="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C7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30F48" w:rsidRPr="00012C7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143B" w:rsidRPr="00012C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F48" w:rsidRPr="00012C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1" w:name="_Hlk160140853"/>
      <w:r w:rsidR="00C903B6" w:rsidRPr="00012C72">
        <w:rPr>
          <w:rFonts w:ascii="Times New Roman" w:hAnsi="Times New Roman" w:cs="Times New Roman"/>
          <w:sz w:val="24"/>
          <w:szCs w:val="24"/>
          <w:lang w:val="en-US"/>
        </w:rPr>
        <w:t>The Release of "The Bank of Japan's Approach to Central Bank Digital Currency</w:t>
      </w:r>
      <w:r w:rsidRPr="00012C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3B6" w:rsidRPr="00012C72">
        <w:rPr>
          <w:rFonts w:ascii="Times New Roman" w:hAnsi="Times New Roman" w:cs="Times New Roman"/>
          <w:sz w:val="24"/>
          <w:szCs w:val="24"/>
          <w:lang w:val="en-US"/>
        </w:rPr>
        <w:t>(https://www.boj.or.jp/en/about/release_2020/rel201009e.htm)</w:t>
      </w:r>
      <w:bookmarkEnd w:id="0"/>
      <w:bookmarkEnd w:id="1"/>
    </w:p>
    <w:sectPr w:rsidR="00C903B6" w:rsidRPr="00012C72" w:rsidSect="00FC606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3AF9" w14:textId="77777777" w:rsidR="00FC6061" w:rsidRDefault="00FC6061" w:rsidP="007D6483">
      <w:r>
        <w:separator/>
      </w:r>
    </w:p>
  </w:endnote>
  <w:endnote w:type="continuationSeparator" w:id="0">
    <w:p w14:paraId="35FC7597" w14:textId="77777777" w:rsidR="00FC6061" w:rsidRDefault="00FC6061" w:rsidP="007D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A39C" w14:textId="77777777" w:rsidR="00FC6061" w:rsidRDefault="00FC6061" w:rsidP="007D6483">
      <w:r>
        <w:separator/>
      </w:r>
    </w:p>
  </w:footnote>
  <w:footnote w:type="continuationSeparator" w:id="0">
    <w:p w14:paraId="7F705F0A" w14:textId="77777777" w:rsidR="00FC6061" w:rsidRDefault="00FC6061" w:rsidP="007D6483">
      <w:r>
        <w:continuationSeparator/>
      </w:r>
    </w:p>
  </w:footnote>
  <w:footnote w:id="1">
    <w:p w14:paraId="0E5EAEB7" w14:textId="2F8F834D" w:rsidR="007D6483" w:rsidRPr="007D6483" w:rsidRDefault="007D6483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Автор выражает признательность кандидату экономических наук, доценту кафедры международных экономических отношений стран Азии и Африки МГУ имени М.В. Ломоносова </w:t>
      </w:r>
      <w:proofErr w:type="spellStart"/>
      <w:r>
        <w:rPr>
          <w:rFonts w:ascii="Times New Roman" w:hAnsi="Times New Roman" w:cs="Times New Roman"/>
        </w:rPr>
        <w:t>Матюниной</w:t>
      </w:r>
      <w:proofErr w:type="spellEnd"/>
      <w:r>
        <w:rPr>
          <w:rFonts w:ascii="Times New Roman" w:hAnsi="Times New Roman" w:cs="Times New Roman"/>
        </w:rPr>
        <w:t xml:space="preserve"> Л.Х. за помощь в подготовке тезисов</w:t>
      </w:r>
    </w:p>
  </w:footnote>
  <w:footnote w:id="2">
    <w:p w14:paraId="5A10E67D" w14:textId="01C34F94" w:rsidR="00A61D76" w:rsidRPr="00A61D76" w:rsidRDefault="00A61D76">
      <w:pPr>
        <w:pStyle w:val="a6"/>
        <w:rPr>
          <w:rFonts w:ascii="Times New Roman" w:hAnsi="Times New Roman" w:cs="Times New Roman"/>
          <w:lang w:val="en-US"/>
        </w:rPr>
      </w:pPr>
      <w:r w:rsidRPr="00A61D76">
        <w:rPr>
          <w:rStyle w:val="a8"/>
          <w:rFonts w:ascii="Times New Roman" w:hAnsi="Times New Roman" w:cs="Times New Roman"/>
        </w:rPr>
        <w:footnoteRef/>
      </w:r>
      <w:r w:rsidRPr="00A61D76">
        <w:rPr>
          <w:rFonts w:ascii="Times New Roman" w:hAnsi="Times New Roman" w:cs="Times New Roman"/>
          <w:lang w:val="en-US"/>
        </w:rPr>
        <w:t xml:space="preserve"> Financial Digitalization and Regulatory Challenges for Japan (https://link.springer.com/book/10.1007/978-981-16-7830-1)</w:t>
      </w:r>
    </w:p>
  </w:footnote>
  <w:footnote w:id="3">
    <w:p w14:paraId="2E8D0121" w14:textId="6D26BAF7" w:rsidR="00A61D76" w:rsidRPr="00A61D76" w:rsidRDefault="00A61D76">
      <w:pPr>
        <w:pStyle w:val="a6"/>
        <w:rPr>
          <w:rFonts w:ascii="Times New Roman" w:hAnsi="Times New Roman" w:cs="Times New Roman"/>
          <w:lang w:val="en-US"/>
        </w:rPr>
      </w:pPr>
      <w:r w:rsidRPr="00A61D76">
        <w:rPr>
          <w:rStyle w:val="a8"/>
          <w:rFonts w:ascii="Times New Roman" w:hAnsi="Times New Roman" w:cs="Times New Roman"/>
        </w:rPr>
        <w:footnoteRef/>
      </w:r>
      <w:r w:rsidRPr="00A61D76">
        <w:rPr>
          <w:rFonts w:ascii="Times New Roman" w:hAnsi="Times New Roman" w:cs="Times New Roman"/>
          <w:lang w:val="en-US"/>
        </w:rPr>
        <w:t xml:space="preserve"> Bank of Japan trials 'digital yen': Here's what you need to know (https://asia.nikkei.com/Business/Markets/Currencies/Bank-of-Japan-trials-digital-yen-Here-s-what-you-need-to-know)</w:t>
      </w:r>
    </w:p>
  </w:footnote>
  <w:footnote w:id="4">
    <w:p w14:paraId="33C38B3F" w14:textId="5FD9451E" w:rsidR="00A61D76" w:rsidRPr="00A61D76" w:rsidRDefault="00A61D76">
      <w:pPr>
        <w:pStyle w:val="a6"/>
        <w:rPr>
          <w:lang w:val="en-US"/>
        </w:rPr>
      </w:pPr>
      <w:r w:rsidRPr="00A61D76">
        <w:rPr>
          <w:rStyle w:val="a8"/>
          <w:rFonts w:ascii="Times New Roman" w:hAnsi="Times New Roman" w:cs="Times New Roman"/>
        </w:rPr>
        <w:footnoteRef/>
      </w:r>
      <w:r w:rsidRPr="00A61D76">
        <w:rPr>
          <w:rFonts w:ascii="Times New Roman" w:hAnsi="Times New Roman" w:cs="Times New Roman"/>
          <w:lang w:val="en-US"/>
        </w:rPr>
        <w:t xml:space="preserve"> The Release of "The Bank of Japan's Approach to Central Bank Digital Currency (https://www.boj.or.jp/en/about/release_2020/rel201009e.htm)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D57"/>
    <w:multiLevelType w:val="hybridMultilevel"/>
    <w:tmpl w:val="428C576E"/>
    <w:lvl w:ilvl="0" w:tplc="59C2D59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A7ED1"/>
    <w:multiLevelType w:val="hybridMultilevel"/>
    <w:tmpl w:val="C990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09D"/>
    <w:multiLevelType w:val="hybridMultilevel"/>
    <w:tmpl w:val="A7285CC2"/>
    <w:lvl w:ilvl="0" w:tplc="E12CD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F2FA3"/>
    <w:multiLevelType w:val="hybridMultilevel"/>
    <w:tmpl w:val="FFA60A1E"/>
    <w:lvl w:ilvl="0" w:tplc="E12CD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C6ABB"/>
    <w:multiLevelType w:val="hybridMultilevel"/>
    <w:tmpl w:val="914A4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930946"/>
    <w:multiLevelType w:val="hybridMultilevel"/>
    <w:tmpl w:val="CF5EE8CE"/>
    <w:lvl w:ilvl="0" w:tplc="E12CD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410340">
    <w:abstractNumId w:val="1"/>
  </w:num>
  <w:num w:numId="2" w16cid:durableId="1870560093">
    <w:abstractNumId w:val="5"/>
  </w:num>
  <w:num w:numId="3" w16cid:durableId="862010231">
    <w:abstractNumId w:val="3"/>
  </w:num>
  <w:num w:numId="4" w16cid:durableId="446318138">
    <w:abstractNumId w:val="2"/>
  </w:num>
  <w:num w:numId="5" w16cid:durableId="54008080">
    <w:abstractNumId w:val="4"/>
  </w:num>
  <w:num w:numId="6" w16cid:durableId="36571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5D"/>
    <w:rsid w:val="00012C72"/>
    <w:rsid w:val="00024EA5"/>
    <w:rsid w:val="00142AE3"/>
    <w:rsid w:val="001F7AD6"/>
    <w:rsid w:val="003855E4"/>
    <w:rsid w:val="00401BDC"/>
    <w:rsid w:val="00586F5D"/>
    <w:rsid w:val="0059143B"/>
    <w:rsid w:val="00784A85"/>
    <w:rsid w:val="007D6483"/>
    <w:rsid w:val="00830F48"/>
    <w:rsid w:val="008B226E"/>
    <w:rsid w:val="00960C58"/>
    <w:rsid w:val="00A61D76"/>
    <w:rsid w:val="00AB5AFD"/>
    <w:rsid w:val="00C60DCB"/>
    <w:rsid w:val="00C903B6"/>
    <w:rsid w:val="00DC0C5E"/>
    <w:rsid w:val="00EB757B"/>
    <w:rsid w:val="00FC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F5DA"/>
  <w15:chartTrackingRefBased/>
  <w15:docId w15:val="{BAD6D03F-03AF-492A-8828-EA85E61D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F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F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0F48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D648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D648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D64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AB34-B160-43AA-B585-600F1960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Кисляк</dc:creator>
  <cp:keywords/>
  <dc:description/>
  <cp:lastModifiedBy>Анастасия Кисляк</cp:lastModifiedBy>
  <cp:revision>7</cp:revision>
  <dcterms:created xsi:type="dcterms:W3CDTF">2024-02-29T18:29:00Z</dcterms:created>
  <dcterms:modified xsi:type="dcterms:W3CDTF">2024-02-29T20:38:00Z</dcterms:modified>
</cp:coreProperties>
</file>