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92F232B" w:rsidR="00130241" w:rsidRPr="00DE17FF" w:rsidRDefault="005E1E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E1EEF">
        <w:rPr>
          <w:b/>
          <w:color w:val="000000"/>
        </w:rPr>
        <w:t xml:space="preserve">Влияние кристаллической структуры молекулярных и полимерных комплексов </w:t>
      </w:r>
      <w:proofErr w:type="spellStart"/>
      <w:proofErr w:type="gramStart"/>
      <w:r w:rsidRPr="005E1EEF">
        <w:rPr>
          <w:b/>
          <w:color w:val="000000"/>
        </w:rPr>
        <w:t>Eu</w:t>
      </w:r>
      <w:proofErr w:type="spellEnd"/>
      <w:r w:rsidRPr="005E1EEF">
        <w:rPr>
          <w:b/>
          <w:color w:val="000000"/>
        </w:rPr>
        <w:t>(</w:t>
      </w:r>
      <w:proofErr w:type="gramEnd"/>
      <w:r w:rsidRPr="005E1EEF">
        <w:rPr>
          <w:b/>
          <w:color w:val="000000"/>
        </w:rPr>
        <w:t>III) с β-</w:t>
      </w:r>
      <w:proofErr w:type="spellStart"/>
      <w:r w:rsidRPr="005E1EEF">
        <w:rPr>
          <w:b/>
          <w:color w:val="000000"/>
        </w:rPr>
        <w:t>дикетонами</w:t>
      </w:r>
      <w:proofErr w:type="spellEnd"/>
      <w:r w:rsidRPr="005E1EEF">
        <w:rPr>
          <w:b/>
          <w:color w:val="000000"/>
        </w:rPr>
        <w:t xml:space="preserve"> на люминесцентные свойства.</w:t>
      </w:r>
    </w:p>
    <w:p w14:paraId="00000002" w14:textId="7D1E477C" w:rsidR="00130241" w:rsidRPr="00DE17F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E17FF">
        <w:rPr>
          <w:b/>
          <w:i/>
          <w:color w:val="000000"/>
        </w:rPr>
        <w:t>И</w:t>
      </w:r>
      <w:r w:rsidR="005E1EEF" w:rsidRPr="00DE17FF">
        <w:rPr>
          <w:b/>
          <w:i/>
          <w:color w:val="000000"/>
        </w:rPr>
        <w:t>сламов М.М.</w:t>
      </w:r>
      <w:r w:rsidRPr="00DE17FF">
        <w:rPr>
          <w:b/>
          <w:i/>
          <w:color w:val="000000"/>
          <w:vertAlign w:val="superscript"/>
        </w:rPr>
        <w:t>1</w:t>
      </w:r>
      <w:r w:rsidR="008C67E3" w:rsidRPr="00DE17FF">
        <w:rPr>
          <w:b/>
          <w:i/>
          <w:color w:val="000000"/>
        </w:rPr>
        <w:t>,</w:t>
      </w:r>
      <w:r w:rsidRPr="00DE17FF">
        <w:rPr>
          <w:b/>
          <w:i/>
          <w:color w:val="000000"/>
        </w:rPr>
        <w:t xml:space="preserve"> </w:t>
      </w:r>
      <w:r w:rsidR="005E1EEF" w:rsidRPr="00DE17FF">
        <w:rPr>
          <w:b/>
          <w:i/>
          <w:color w:val="000000"/>
        </w:rPr>
        <w:t>Гончаренко В.Е.</w:t>
      </w:r>
      <w:r w:rsidR="005E1EEF" w:rsidRPr="00DE17FF">
        <w:rPr>
          <w:b/>
          <w:i/>
          <w:color w:val="000000"/>
          <w:vertAlign w:val="superscript"/>
        </w:rPr>
        <w:t>2</w:t>
      </w:r>
      <w:r w:rsidR="003B76D6" w:rsidRPr="00DE17FF">
        <w:rPr>
          <w:b/>
          <w:i/>
          <w:color w:val="000000"/>
          <w:vertAlign w:val="superscript"/>
        </w:rPr>
        <w:t>,</w:t>
      </w:r>
      <w:r w:rsidR="005E1EEF" w:rsidRPr="00DE17FF">
        <w:rPr>
          <w:b/>
          <w:i/>
          <w:color w:val="000000"/>
          <w:vertAlign w:val="superscript"/>
        </w:rPr>
        <w:t>3</w:t>
      </w:r>
      <w:r w:rsidR="005E1EEF" w:rsidRPr="00DE17FF">
        <w:rPr>
          <w:b/>
          <w:i/>
          <w:color w:val="000000"/>
        </w:rPr>
        <w:t>, Белоусов Ю.А.</w:t>
      </w:r>
      <w:r w:rsidR="005E1EEF" w:rsidRPr="00DE17FF">
        <w:rPr>
          <w:b/>
          <w:i/>
          <w:color w:val="000000"/>
          <w:vertAlign w:val="superscript"/>
        </w:rPr>
        <w:t>1,</w:t>
      </w:r>
      <w:r w:rsidR="00B02CDB" w:rsidRPr="00DE17FF">
        <w:rPr>
          <w:b/>
          <w:i/>
          <w:color w:val="000000"/>
          <w:vertAlign w:val="superscript"/>
        </w:rPr>
        <w:t>2</w:t>
      </w:r>
      <w:r w:rsidR="005E1EEF" w:rsidRPr="00DE17FF">
        <w:rPr>
          <w:b/>
          <w:i/>
          <w:color w:val="000000"/>
        </w:rPr>
        <w:t xml:space="preserve">, </w:t>
      </w:r>
      <w:proofErr w:type="spellStart"/>
      <w:r w:rsidR="005E1EEF" w:rsidRPr="00DE17FF">
        <w:rPr>
          <w:b/>
          <w:i/>
          <w:color w:val="000000"/>
        </w:rPr>
        <w:t>Тайдаков</w:t>
      </w:r>
      <w:proofErr w:type="spellEnd"/>
      <w:r w:rsidR="005E1EEF" w:rsidRPr="00DE17FF">
        <w:rPr>
          <w:b/>
          <w:i/>
          <w:color w:val="000000"/>
        </w:rPr>
        <w:t xml:space="preserve"> И.В.</w:t>
      </w:r>
      <w:r w:rsidR="005E1EEF" w:rsidRPr="00DE17FF">
        <w:rPr>
          <w:b/>
          <w:i/>
          <w:color w:val="000000"/>
          <w:vertAlign w:val="superscript"/>
        </w:rPr>
        <w:t>2</w:t>
      </w:r>
    </w:p>
    <w:p w14:paraId="00000003" w14:textId="56CC741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02CDB">
        <w:rPr>
          <w:i/>
          <w:color w:val="000000"/>
        </w:rPr>
        <w:t>3</w:t>
      </w:r>
      <w:r>
        <w:rPr>
          <w:i/>
          <w:color w:val="000000"/>
        </w:rPr>
        <w:t xml:space="preserve"> курс специалитета </w:t>
      </w:r>
    </w:p>
    <w:p w14:paraId="00000005" w14:textId="09D30858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3C53A72E" w14:textId="3B01F853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B02CDB" w:rsidRPr="00B02CDB">
        <w:rPr>
          <w:i/>
          <w:color w:val="000000"/>
        </w:rPr>
        <w:t>Физический институт Академии Наук им. П. Н. Лебедева, Москва, Россия</w:t>
      </w:r>
    </w:p>
    <w:p w14:paraId="00000007" w14:textId="699B2913" w:rsidR="00130241" w:rsidRPr="00DE17FF" w:rsidRDefault="00B02CDB" w:rsidP="005C0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3</w:t>
      </w:r>
      <w:r w:rsidRPr="00B02CDB">
        <w:rPr>
          <w:i/>
          <w:color w:val="000000"/>
        </w:rPr>
        <w:t>Национально-исследовательский институт «Высшая школа экономики», Москва, Россия</w:t>
      </w:r>
    </w:p>
    <w:p w14:paraId="00000008" w14:textId="60789AEF" w:rsidR="00130241" w:rsidRPr="00B02CD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C003C">
        <w:rPr>
          <w:i/>
          <w:color w:val="000000"/>
          <w:lang w:val="en-US"/>
        </w:rPr>
        <w:t>E</w:t>
      </w:r>
      <w:r w:rsidR="003B76D6" w:rsidRPr="005C003C">
        <w:rPr>
          <w:i/>
          <w:color w:val="000000"/>
          <w:lang w:val="en-US"/>
        </w:rPr>
        <w:t>-</w:t>
      </w:r>
      <w:r w:rsidRPr="005C003C">
        <w:rPr>
          <w:i/>
          <w:color w:val="000000"/>
          <w:lang w:val="en-US"/>
        </w:rPr>
        <w:t xml:space="preserve">mail: </w:t>
      </w:r>
      <w:r w:rsidR="00B02CDB">
        <w:fldChar w:fldCharType="begin"/>
      </w:r>
      <w:r w:rsidR="00B02CDB" w:rsidRPr="00DE17FF">
        <w:rPr>
          <w:lang w:val="en-US"/>
        </w:rPr>
        <w:instrText>HYPERLINK "mailto:ivanov@yandex.ru" \h</w:instrText>
      </w:r>
      <w:r w:rsidR="00B02CDB">
        <w:fldChar w:fldCharType="separate"/>
      </w:r>
      <w:r w:rsidR="00B02CDB">
        <w:rPr>
          <w:i/>
          <w:color w:val="000000"/>
          <w:u w:val="single"/>
          <w:lang w:val="en-US"/>
        </w:rPr>
        <w:t>marat</w:t>
      </w:r>
      <w:r w:rsidR="00B02CDB" w:rsidRPr="005C003C">
        <w:rPr>
          <w:i/>
          <w:color w:val="000000"/>
          <w:u w:val="single"/>
          <w:lang w:val="en-US"/>
        </w:rPr>
        <w:t>.</w:t>
      </w:r>
      <w:r w:rsidR="00B02CDB">
        <w:rPr>
          <w:i/>
          <w:color w:val="000000"/>
          <w:u w:val="single"/>
          <w:lang w:val="en-US"/>
        </w:rPr>
        <w:t>islamov</w:t>
      </w:r>
      <w:r w:rsidRPr="005C003C">
        <w:rPr>
          <w:i/>
          <w:color w:val="000000"/>
          <w:u w:val="single"/>
          <w:lang w:val="en-US"/>
        </w:rPr>
        <w:t>@</w:t>
      </w:r>
      <w:r w:rsidR="00B02CDB">
        <w:rPr>
          <w:i/>
          <w:color w:val="000000"/>
          <w:u w:val="single"/>
          <w:lang w:val="en-US"/>
        </w:rPr>
        <w:t>chemistry</w:t>
      </w:r>
      <w:r w:rsidR="00B02CDB" w:rsidRPr="005C003C">
        <w:rPr>
          <w:i/>
          <w:color w:val="000000"/>
          <w:u w:val="single"/>
          <w:lang w:val="en-US"/>
        </w:rPr>
        <w:t>.</w:t>
      </w:r>
      <w:r w:rsidR="00B02CDB">
        <w:rPr>
          <w:i/>
          <w:color w:val="000000"/>
          <w:u w:val="single"/>
          <w:lang w:val="en-US"/>
        </w:rPr>
        <w:t>msu</w:t>
      </w:r>
      <w:r w:rsidRPr="005C003C">
        <w:rPr>
          <w:i/>
          <w:color w:val="000000"/>
          <w:u w:val="single"/>
          <w:lang w:val="en-US"/>
        </w:rPr>
        <w:t>.ru</w:t>
      </w:r>
      <w:r w:rsidR="00B02CDB">
        <w:fldChar w:fldCharType="end"/>
      </w:r>
    </w:p>
    <w:p w14:paraId="49C4023A" w14:textId="595D4133" w:rsidR="00B02CDB" w:rsidRPr="005C003C" w:rsidRDefault="00B02CDB" w:rsidP="005C0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B02CDB">
        <w:rPr>
          <w:color w:val="000000"/>
        </w:rPr>
        <w:t xml:space="preserve">Люминесцентные комплексы РЗЭ являются объектами большого интереса с точки зрения практического применения в качестве маркеров для банкнот, сенсорных материалов и OLED-дисплеев. Связано это с узким характером линий в спектрах люминесценции лантанидов, обусловленным высоким экранированием f-f </w:t>
      </w:r>
      <w:proofErr w:type="spellStart"/>
      <w:r w:rsidRPr="00B02CDB">
        <w:rPr>
          <w:color w:val="000000"/>
        </w:rPr>
        <w:t>орбиталей</w:t>
      </w:r>
      <w:proofErr w:type="spellEnd"/>
      <w:r w:rsidRPr="00B02CDB">
        <w:rPr>
          <w:color w:val="000000"/>
        </w:rPr>
        <w:t>, внутри которых происходят электронные переходы. Также из-за экранирования f-</w:t>
      </w:r>
      <w:proofErr w:type="spellStart"/>
      <w:r w:rsidRPr="00B02CDB">
        <w:rPr>
          <w:color w:val="000000"/>
        </w:rPr>
        <w:t>орбиталей</w:t>
      </w:r>
      <w:proofErr w:type="spellEnd"/>
      <w:r w:rsidRPr="00B02CDB">
        <w:rPr>
          <w:color w:val="000000"/>
        </w:rPr>
        <w:t>, лантаниды обладают малым коэффициентом молярной экстинкции, соответственно малой интенсивностью собственной люминесценции. Введение органического лиганда с высоким коэффициентом поглощения позволяет при помощи «эффекта антенны» увеличивать интенсивность люминесценции соответствующих комплексов, а благодаря большому радиусу РЗЭ возможна большая вариативность координационных полиэдров (КЧ=6-12), что позволяет создавать металлорганические каркасные полимеры (МОКП), применимые в качестве сенсоров (в частности, на содержание H</w:t>
      </w:r>
      <w:r w:rsidRPr="00B02CDB">
        <w:rPr>
          <w:color w:val="000000"/>
          <w:vertAlign w:val="subscript"/>
        </w:rPr>
        <w:t>2</w:t>
      </w:r>
      <w:r w:rsidRPr="00B02CDB">
        <w:rPr>
          <w:color w:val="000000"/>
        </w:rPr>
        <w:t>O в D</w:t>
      </w:r>
      <w:r w:rsidRPr="00B02CDB">
        <w:rPr>
          <w:color w:val="000000"/>
          <w:vertAlign w:val="subscript"/>
        </w:rPr>
        <w:t>2</w:t>
      </w:r>
      <w:r w:rsidRPr="00B02CDB">
        <w:rPr>
          <w:color w:val="000000"/>
        </w:rPr>
        <w:t xml:space="preserve">O или катионы 3d металлов). Реакция </w:t>
      </w:r>
      <w:proofErr w:type="spellStart"/>
      <w:r w:rsidRPr="00B02CDB">
        <w:rPr>
          <w:color w:val="000000"/>
        </w:rPr>
        <w:t>Eu</w:t>
      </w:r>
      <w:proofErr w:type="spellEnd"/>
      <w:r w:rsidRPr="00B02CDB">
        <w:rPr>
          <w:color w:val="000000"/>
        </w:rPr>
        <w:t>(OH)</w:t>
      </w:r>
      <w:r w:rsidRPr="00B02CDB">
        <w:rPr>
          <w:color w:val="000000"/>
          <w:vertAlign w:val="subscript"/>
        </w:rPr>
        <w:t>3</w:t>
      </w:r>
      <w:r w:rsidRPr="00B02CDB">
        <w:rPr>
          <w:color w:val="000000"/>
        </w:rPr>
        <w:t xml:space="preserve"> и 4,4,4-трифтор-1-(1,5-диметил-1H-пиразол-4-ил)бутан-1,3-диона (HL) в различных неводных средах привела к образованию 9 новых кристаллических структур с общей формулой [</w:t>
      </w:r>
      <w:proofErr w:type="spellStart"/>
      <w:r w:rsidRPr="00B02CDB">
        <w:rPr>
          <w:color w:val="000000"/>
        </w:rPr>
        <w:t>Eu</w:t>
      </w:r>
      <w:proofErr w:type="spellEnd"/>
      <w:r w:rsidRPr="00B02CDB">
        <w:rPr>
          <w:color w:val="000000"/>
        </w:rPr>
        <w:t>(L)</w:t>
      </w:r>
      <w:r w:rsidRPr="00B02CDB">
        <w:rPr>
          <w:color w:val="000000"/>
          <w:vertAlign w:val="subscript"/>
        </w:rPr>
        <w:t>3</w:t>
      </w:r>
      <w:r w:rsidRPr="00B02CDB">
        <w:rPr>
          <w:color w:val="000000"/>
        </w:rPr>
        <w:t>(</w:t>
      </w:r>
      <w:proofErr w:type="spellStart"/>
      <w:r w:rsidRPr="00B02CDB">
        <w:rPr>
          <w:color w:val="000000"/>
        </w:rPr>
        <w:t>Solv</w:t>
      </w:r>
      <w:proofErr w:type="spellEnd"/>
      <w:r w:rsidRPr="00B02CDB">
        <w:rPr>
          <w:color w:val="000000"/>
        </w:rPr>
        <w:t>)</w:t>
      </w:r>
      <w:r w:rsidRPr="00B02CDB">
        <w:rPr>
          <w:color w:val="000000"/>
          <w:vertAlign w:val="subscript"/>
        </w:rPr>
        <w:t>x</w:t>
      </w:r>
      <w:r w:rsidRPr="00B02CDB">
        <w:rPr>
          <w:color w:val="000000"/>
        </w:rPr>
        <w:t xml:space="preserve">], где </w:t>
      </w:r>
      <w:proofErr w:type="spellStart"/>
      <w:r w:rsidRPr="00B02CDB">
        <w:rPr>
          <w:color w:val="000000"/>
        </w:rPr>
        <w:t>Solv</w:t>
      </w:r>
      <w:proofErr w:type="spellEnd"/>
      <w:r w:rsidRPr="00B02CDB">
        <w:rPr>
          <w:color w:val="000000"/>
        </w:rPr>
        <w:t xml:space="preserve"> и x зависят от выбора растворителя (</w:t>
      </w:r>
      <w:proofErr w:type="spellStart"/>
      <w:r w:rsidRPr="00B02CDB">
        <w:rPr>
          <w:color w:val="000000"/>
        </w:rPr>
        <w:t>Solv</w:t>
      </w:r>
      <w:proofErr w:type="spellEnd"/>
      <w:r w:rsidRPr="00B02CDB">
        <w:rPr>
          <w:color w:val="000000"/>
        </w:rPr>
        <w:t xml:space="preserve"> = </w:t>
      </w:r>
      <w:proofErr w:type="spellStart"/>
      <w:r w:rsidRPr="00B02CDB">
        <w:rPr>
          <w:color w:val="000000"/>
        </w:rPr>
        <w:t>MeOH</w:t>
      </w:r>
      <w:proofErr w:type="spellEnd"/>
      <w:r w:rsidRPr="00B02CDB">
        <w:rPr>
          <w:color w:val="000000"/>
        </w:rPr>
        <w:t xml:space="preserve">, </w:t>
      </w:r>
      <w:proofErr w:type="spellStart"/>
      <w:r w:rsidRPr="00B02CDB">
        <w:rPr>
          <w:color w:val="000000"/>
        </w:rPr>
        <w:t>EtOH</w:t>
      </w:r>
      <w:proofErr w:type="spellEnd"/>
      <w:r w:rsidRPr="00B02CDB">
        <w:rPr>
          <w:color w:val="000000"/>
        </w:rPr>
        <w:t xml:space="preserve">, </w:t>
      </w:r>
      <w:r w:rsidRPr="00B02CDB">
        <w:rPr>
          <w:i/>
          <w:iCs/>
          <w:color w:val="000000"/>
        </w:rPr>
        <w:t>i-</w:t>
      </w:r>
      <w:proofErr w:type="spellStart"/>
      <w:r w:rsidRPr="00B02CDB">
        <w:rPr>
          <w:color w:val="000000"/>
        </w:rPr>
        <w:t>PrOH</w:t>
      </w:r>
      <w:proofErr w:type="spellEnd"/>
      <w:r w:rsidRPr="00B02CDB">
        <w:rPr>
          <w:color w:val="000000"/>
        </w:rPr>
        <w:t xml:space="preserve">, </w:t>
      </w:r>
      <w:r w:rsidRPr="00B02CDB">
        <w:rPr>
          <w:i/>
          <w:iCs/>
          <w:color w:val="000000"/>
        </w:rPr>
        <w:t>n-</w:t>
      </w:r>
      <w:proofErr w:type="spellStart"/>
      <w:r w:rsidRPr="00B02CDB">
        <w:rPr>
          <w:color w:val="000000"/>
        </w:rPr>
        <w:t>PrOH</w:t>
      </w:r>
      <w:proofErr w:type="spellEnd"/>
      <w:r w:rsidRPr="00B02CDB">
        <w:rPr>
          <w:color w:val="000000"/>
        </w:rPr>
        <w:t xml:space="preserve">, </w:t>
      </w:r>
      <w:r w:rsidRPr="00B02CDB">
        <w:rPr>
          <w:i/>
          <w:iCs/>
          <w:color w:val="000000"/>
        </w:rPr>
        <w:t>i-</w:t>
      </w:r>
      <w:proofErr w:type="spellStart"/>
      <w:r w:rsidRPr="00B02CDB">
        <w:rPr>
          <w:color w:val="000000"/>
        </w:rPr>
        <w:t>BuOH</w:t>
      </w:r>
      <w:proofErr w:type="spellEnd"/>
      <w:r w:rsidRPr="00B02CDB">
        <w:rPr>
          <w:color w:val="000000"/>
        </w:rPr>
        <w:t xml:space="preserve">, </w:t>
      </w:r>
      <w:r w:rsidRPr="00B02CDB">
        <w:rPr>
          <w:i/>
          <w:iCs/>
          <w:color w:val="000000"/>
        </w:rPr>
        <w:t>n-</w:t>
      </w:r>
      <w:proofErr w:type="spellStart"/>
      <w:r w:rsidRPr="00B02CDB">
        <w:rPr>
          <w:color w:val="000000"/>
        </w:rPr>
        <w:t>BuOH</w:t>
      </w:r>
      <w:proofErr w:type="spellEnd"/>
      <w:r w:rsidRPr="00B02CDB">
        <w:rPr>
          <w:color w:val="000000"/>
        </w:rPr>
        <w:t xml:space="preserve">, </w:t>
      </w:r>
      <w:r w:rsidRPr="00B02CDB">
        <w:rPr>
          <w:i/>
          <w:iCs/>
          <w:color w:val="000000"/>
        </w:rPr>
        <w:t>t-</w:t>
      </w:r>
      <w:proofErr w:type="spellStart"/>
      <w:r w:rsidRPr="00B02CDB">
        <w:rPr>
          <w:color w:val="000000"/>
        </w:rPr>
        <w:t>BuOH</w:t>
      </w:r>
      <w:proofErr w:type="spellEnd"/>
      <w:r w:rsidRPr="00B02CDB">
        <w:rPr>
          <w:color w:val="000000"/>
        </w:rPr>
        <w:t>, H</w:t>
      </w:r>
      <w:r w:rsidRPr="00B02CDB">
        <w:rPr>
          <w:color w:val="000000"/>
          <w:vertAlign w:val="subscript"/>
        </w:rPr>
        <w:t>2</w:t>
      </w:r>
      <w:r w:rsidRPr="00B02CDB">
        <w:rPr>
          <w:color w:val="000000"/>
        </w:rPr>
        <w:t>O; x=1, 2). Кроме того, из раствора этанола был кристаллизован линейный полимер с формулой [</w:t>
      </w:r>
      <w:proofErr w:type="spellStart"/>
      <w:r w:rsidRPr="00B02CDB">
        <w:rPr>
          <w:color w:val="000000"/>
        </w:rPr>
        <w:t>Eu</w:t>
      </w:r>
      <w:proofErr w:type="spellEnd"/>
      <w:r w:rsidRPr="00B02CDB">
        <w:rPr>
          <w:color w:val="000000"/>
        </w:rPr>
        <w:t>(L)</w:t>
      </w:r>
      <w:r w:rsidRPr="00FE4423">
        <w:rPr>
          <w:color w:val="000000"/>
          <w:vertAlign w:val="subscript"/>
        </w:rPr>
        <w:t>3</w:t>
      </w:r>
      <w:r w:rsidRPr="00B02CDB">
        <w:rPr>
          <w:color w:val="000000"/>
        </w:rPr>
        <w:t>(H</w:t>
      </w:r>
      <w:r w:rsidRPr="00FE4423">
        <w:rPr>
          <w:color w:val="000000"/>
          <w:vertAlign w:val="subscript"/>
        </w:rPr>
        <w:t>2</w:t>
      </w:r>
      <w:r w:rsidRPr="00B02CDB">
        <w:rPr>
          <w:color w:val="000000"/>
        </w:rPr>
        <w:t>O</w:t>
      </w:r>
      <w:proofErr w:type="gramStart"/>
      <w:r w:rsidRPr="00B02CDB">
        <w:rPr>
          <w:color w:val="000000"/>
        </w:rPr>
        <w:t>)]</w:t>
      </w:r>
      <w:r w:rsidRPr="00FE4423">
        <w:rPr>
          <w:color w:val="000000"/>
          <w:vertAlign w:val="subscript"/>
        </w:rPr>
        <w:t>n</w:t>
      </w:r>
      <w:r w:rsidRPr="00B02CDB">
        <w:rPr>
          <w:color w:val="000000"/>
        </w:rPr>
        <w:t>.</w:t>
      </w:r>
      <w:proofErr w:type="gramEnd"/>
      <w:r w:rsidRPr="00B02CDB">
        <w:rPr>
          <w:color w:val="000000"/>
        </w:rPr>
        <w:t xml:space="preserve"> Мы показали, что природа растворителя играет решающую роль в кристаллообразовании полимерных </w:t>
      </w:r>
      <w:proofErr w:type="spellStart"/>
      <w:r w:rsidRPr="00B02CDB">
        <w:rPr>
          <w:color w:val="000000"/>
        </w:rPr>
        <w:t>дикетонатов</w:t>
      </w:r>
      <w:proofErr w:type="spellEnd"/>
      <w:r w:rsidRPr="00B02CDB">
        <w:rPr>
          <w:color w:val="000000"/>
        </w:rPr>
        <w:t xml:space="preserve"> Eu</w:t>
      </w:r>
      <w:r w:rsidRPr="00FE4423">
        <w:rPr>
          <w:color w:val="000000"/>
          <w:vertAlign w:val="superscript"/>
        </w:rPr>
        <w:t>3+</w:t>
      </w:r>
      <w:r w:rsidRPr="00B02CDB">
        <w:rPr>
          <w:color w:val="000000"/>
        </w:rPr>
        <w:t>, мало описанных в предыдущих исследованиях. Также были исследованы люминесцентные свойства для всех представленных комплексов и установлены времена жизни возбуждённых состояний. Для ряда растворителей (</w:t>
      </w:r>
      <w:r w:rsidRPr="00576220">
        <w:rPr>
          <w:i/>
          <w:iCs/>
          <w:color w:val="000000"/>
        </w:rPr>
        <w:t>n-</w:t>
      </w:r>
      <w:proofErr w:type="spellStart"/>
      <w:r w:rsidRPr="00B02CDB">
        <w:rPr>
          <w:color w:val="000000"/>
        </w:rPr>
        <w:t>PrOH</w:t>
      </w:r>
      <w:proofErr w:type="spellEnd"/>
      <w:r w:rsidRPr="00B02CDB">
        <w:rPr>
          <w:color w:val="000000"/>
        </w:rPr>
        <w:t xml:space="preserve">, </w:t>
      </w:r>
      <w:r w:rsidRPr="00576220">
        <w:rPr>
          <w:i/>
          <w:iCs/>
          <w:color w:val="000000"/>
        </w:rPr>
        <w:t>i-</w:t>
      </w:r>
      <w:proofErr w:type="spellStart"/>
      <w:r w:rsidRPr="00B02CDB">
        <w:rPr>
          <w:color w:val="000000"/>
        </w:rPr>
        <w:t>BuOH</w:t>
      </w:r>
      <w:proofErr w:type="spellEnd"/>
      <w:r w:rsidRPr="00B02CDB">
        <w:rPr>
          <w:color w:val="000000"/>
        </w:rPr>
        <w:t xml:space="preserve">, </w:t>
      </w:r>
      <w:r w:rsidRPr="00576220">
        <w:rPr>
          <w:i/>
          <w:iCs/>
          <w:color w:val="000000"/>
        </w:rPr>
        <w:t>n-</w:t>
      </w:r>
      <w:proofErr w:type="spellStart"/>
      <w:r w:rsidRPr="00B02CDB">
        <w:rPr>
          <w:color w:val="000000"/>
        </w:rPr>
        <w:t>BuOH</w:t>
      </w:r>
      <w:proofErr w:type="spellEnd"/>
      <w:r w:rsidRPr="00B02CDB">
        <w:rPr>
          <w:color w:val="000000"/>
        </w:rPr>
        <w:t xml:space="preserve">, </w:t>
      </w:r>
      <w:r w:rsidR="00576220" w:rsidRPr="00DE17FF">
        <w:rPr>
          <w:color w:val="000000"/>
        </w:rPr>
        <w:br/>
      </w:r>
      <w:r w:rsidRPr="00576220">
        <w:rPr>
          <w:i/>
          <w:iCs/>
          <w:color w:val="000000"/>
        </w:rPr>
        <w:t>t-</w:t>
      </w:r>
      <w:proofErr w:type="spellStart"/>
      <w:r w:rsidRPr="00B02CDB">
        <w:rPr>
          <w:color w:val="000000"/>
        </w:rPr>
        <w:t>BuOH</w:t>
      </w:r>
      <w:proofErr w:type="spellEnd"/>
      <w:r w:rsidRPr="00B02CDB">
        <w:rPr>
          <w:color w:val="000000"/>
        </w:rPr>
        <w:t>) кристаллическая фаза состава [</w:t>
      </w:r>
      <w:proofErr w:type="spellStart"/>
      <w:r w:rsidRPr="00B02CDB">
        <w:rPr>
          <w:color w:val="000000"/>
        </w:rPr>
        <w:t>Eu</w:t>
      </w:r>
      <w:proofErr w:type="spellEnd"/>
      <w:r w:rsidRPr="00B02CDB">
        <w:rPr>
          <w:color w:val="000000"/>
        </w:rPr>
        <w:t>(L)</w:t>
      </w:r>
      <w:r w:rsidRPr="00576220">
        <w:rPr>
          <w:color w:val="000000"/>
          <w:vertAlign w:val="subscript"/>
        </w:rPr>
        <w:t>3</w:t>
      </w:r>
      <w:r w:rsidRPr="00B02CDB">
        <w:rPr>
          <w:color w:val="000000"/>
        </w:rPr>
        <w:t>(</w:t>
      </w:r>
      <w:proofErr w:type="spellStart"/>
      <w:r w:rsidRPr="00B02CDB">
        <w:rPr>
          <w:color w:val="000000"/>
        </w:rPr>
        <w:t>Solv</w:t>
      </w:r>
      <w:proofErr w:type="spellEnd"/>
      <w:r w:rsidRPr="00B02CDB">
        <w:rPr>
          <w:color w:val="000000"/>
        </w:rPr>
        <w:t>)</w:t>
      </w:r>
      <w:r w:rsidRPr="00576220">
        <w:rPr>
          <w:color w:val="000000"/>
          <w:vertAlign w:val="subscript"/>
        </w:rPr>
        <w:t>2</w:t>
      </w:r>
      <w:r w:rsidRPr="00B02CDB">
        <w:rPr>
          <w:color w:val="000000"/>
        </w:rPr>
        <w:t xml:space="preserve">] является метастабильной, и со временем происходит ее постепенная </w:t>
      </w:r>
      <w:proofErr w:type="spellStart"/>
      <w:r w:rsidRPr="00B02CDB">
        <w:rPr>
          <w:color w:val="000000"/>
        </w:rPr>
        <w:t>аморфизация</w:t>
      </w:r>
      <w:proofErr w:type="spellEnd"/>
      <w:r w:rsidRPr="00B02CDB">
        <w:rPr>
          <w:color w:val="000000"/>
        </w:rPr>
        <w:t xml:space="preserve"> и переход в полимерную фазу состава [</w:t>
      </w:r>
      <w:proofErr w:type="spellStart"/>
      <w:r w:rsidRPr="00B02CDB">
        <w:rPr>
          <w:color w:val="000000"/>
        </w:rPr>
        <w:t>Eu</w:t>
      </w:r>
      <w:proofErr w:type="spellEnd"/>
      <w:r w:rsidRPr="00B02CDB">
        <w:rPr>
          <w:color w:val="000000"/>
        </w:rPr>
        <w:t>(L)</w:t>
      </w:r>
      <w:r w:rsidRPr="00576220">
        <w:rPr>
          <w:color w:val="000000"/>
          <w:vertAlign w:val="subscript"/>
        </w:rPr>
        <w:t>3</w:t>
      </w:r>
      <w:r w:rsidRPr="00B02CDB">
        <w:rPr>
          <w:color w:val="000000"/>
        </w:rPr>
        <w:t>(H</w:t>
      </w:r>
      <w:r w:rsidRPr="00576220">
        <w:rPr>
          <w:color w:val="000000"/>
          <w:vertAlign w:val="subscript"/>
        </w:rPr>
        <w:t>2</w:t>
      </w:r>
      <w:r w:rsidRPr="00B02CDB">
        <w:rPr>
          <w:color w:val="000000"/>
        </w:rPr>
        <w:t>O)]</w:t>
      </w:r>
      <w:r w:rsidRPr="00576220">
        <w:rPr>
          <w:color w:val="000000"/>
          <w:vertAlign w:val="subscript"/>
        </w:rPr>
        <w:t>n</w:t>
      </w:r>
      <w:r w:rsidRPr="00B02CDB">
        <w:rPr>
          <w:color w:val="000000"/>
        </w:rPr>
        <w:t>. Была проведена классификация комплексов по рентгеноструктурным данным, что привело к нахождению 3 структурных типов с различным пространственными группами и структурными мотивами.</w:t>
      </w:r>
    </w:p>
    <w:sectPr w:rsidR="00B02CDB" w:rsidRPr="005C003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76220"/>
    <w:rsid w:val="00590166"/>
    <w:rsid w:val="005C003C"/>
    <w:rsid w:val="005D022B"/>
    <w:rsid w:val="005E1EEF"/>
    <w:rsid w:val="005E5BE9"/>
    <w:rsid w:val="0069427D"/>
    <w:rsid w:val="006B3685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02CDB"/>
    <w:rsid w:val="00BF36F8"/>
    <w:rsid w:val="00BF4622"/>
    <w:rsid w:val="00C52965"/>
    <w:rsid w:val="00C844E2"/>
    <w:rsid w:val="00CD00B1"/>
    <w:rsid w:val="00D22306"/>
    <w:rsid w:val="00D42542"/>
    <w:rsid w:val="00D8121C"/>
    <w:rsid w:val="00DE17FF"/>
    <w:rsid w:val="00E22189"/>
    <w:rsid w:val="00E74069"/>
    <w:rsid w:val="00E81D35"/>
    <w:rsid w:val="00EB1F49"/>
    <w:rsid w:val="00ED10D1"/>
    <w:rsid w:val="00F865B3"/>
    <w:rsid w:val="00FB1509"/>
    <w:rsid w:val="00FE442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 Исламов</dc:creator>
  <cp:lastModifiedBy>Мария Скрыпник</cp:lastModifiedBy>
  <cp:revision>3</cp:revision>
  <dcterms:created xsi:type="dcterms:W3CDTF">2025-03-17T21:42:00Z</dcterms:created>
  <dcterms:modified xsi:type="dcterms:W3CDTF">2025-03-18T11:00:00Z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