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Перспективы развития тьюторства в педагогических вузах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Ступаков Дмитрий Васильевич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 1 курса Института психологи и педагогики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Алтайский государственный педагогический университет, Барнаул, Россия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E–mail: dmitrystupakoff@yandex.kz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Научный руководитель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старший преподаватель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кафедры общей и социальной педагогики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Логинов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Антон Николаевич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09"/>
        <w:jc w:val="center"/>
        <w:spacing w:after="0"/>
        <w:tabs>
          <w:tab w:val="left" w:pos="7938" w:leader="none"/>
        </w:tabs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Тьюторство как профессиональная деятельность постепенно занимает важное место в российском образовании. Несмотря на то, что эта профессия официально внесена в реестр, ее функции часто сводятся к техническому сопровождению учебного процесса.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Однако потенциал тьютора гораздо шире: он может стать ключевой фигурой в воспитании и индивидуальном развитии учащихся. В данной статье я хочу рассмотреть перспективы тьюторства в России, опираясь на традиции отечественной педагогики и современные вызовы.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Согласно нормативным документам, тьютор выполняет вспомогательные функции: помогает ученикам ориентироваться в учебном процессе, координирует их взаимодействие с преподавателями и 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администрацией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[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3]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. Однако такое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понимание ограничивает его роль, игнорируя воспитательный аспект. Между тем, современный закон об образовании подчеркивает единство обучения и воспитания, направленного на формирование ценностей, таких как патриотизм, уважение к закону и окружающей среде.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Тьютор, работая с учеником индивидуально, может оказывать значительное влияние на его мировоззрение. В этом смысле его деятельность близк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а к функциям классного руководителя или наставника, которые всегда были частью российской педагогической традиции. Важно, чтобы тьютор не только помогал в освоении учебной программы, но и способствовал развитию личности, учитывая ее уникальные особенности.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Российская педагогика всегда удел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яла особое внимание воспитанию. Примеры этого можно найти в работах К.Д. Ушинского «Многое, конечно, значит дух заведения; но этот дух живет не в стенах, не на бумаге, но в характере большинства воспитателей и оттуда уже переходит в характер воспитанников»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[1]</w:t>
      </w:r>
      <w:r>
        <w:rPr>
          <w:rFonts w:ascii="Roboto" w:hAnsi="Roboto" w:eastAsia="Roboto" w:cs="Roboto"/>
          <w:color w:val="40404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В.А. Сухомлинского «Одна из важных задач воспитателя состоит в том, чтобы, образно говоря, дать в руки каждому ребенку скрипку, чтобы каждый чувствовал, как рождается музыка»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[2]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И других выдающихся педагогов, которые считали, что образование должно формировать не только знания, но и характер. Сегодня, в условиях глобализации и стандартизации, важно сохранить эту традицию.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Одной из ключевых задач тьютора становится помощь ученикам в осознании культурных и нравственных ценностей. Эт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о особенно актуально в эпоху цифровизации, когда живое общение заменяется виртуальным, а информация часто подается в упрощенной форме. Тьютор может стать проводником между традицией и современностью, помогая ученикам сохранить связь с культурным наследием.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Для реализации этих задач необходима качественная подготовка тьюто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ров. Они должны обладать не только педагогическими, но и психологическими, социальными и культурологическими компетенциями. Важно, чтобы их обучение включало изучение отечественных педагогических традиций и современных методик индивидуализации образования.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/>
      <w:bookmarkStart w:id="0" w:name="_xdjvp5d31xs0"/>
      <w:r/>
      <w:bookmarkEnd w:id="0"/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Платформы с ИИ-аналитикой (Skyeng Адаптив, Учи.ру) позволяют тьютору отслеживать прогресс каждого ученика и автоматически корректировать учебную 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траекторию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[4]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Виртуальная и дополненная реальность (VR/AR) открывают новые возможности для индивидуальных занятий – от виртуальных лабораторий по химии до исторических реконструкций.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Геймификация (Minecraft: Education Edition) помогает превратить освоение сложных тем в увлекательный процесс, что особенно важно для школьников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 [6]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Пример внедрения: В ряде московских школ уже используются VR-тьюторы для подготовки к ОГЭ по биологии – ученики «путешествуют» по клетке человека, что повышает вовлеченность и запоминание материала.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В заключении можно сказать, что тьюторство в России имеет значительный потенциал, особенно в сфере воспитания и индивидуального подхода к обучению. Чтобы реализовать этот потенциал, необ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ходимо расширить функции тьютора, выйдя за рамки технического сопровождения, и уделить особое внимание его подготовке. Только тогда тьютор сможет стать полноценным участником образовательного процесса, способствуя формированию гармонично развитой личности.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20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Таким образом, развити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е тьюторства в России требует не только адаптации зарубежного опыта, но и опоры на богатые отечественные педагогические традиции. Это позволит создать систему, в которой каждый ученик получит не только знания, но и поддержку в своем личностном становлении.</w:t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tabs>
          <w:tab w:val="left" w:pos="7513" w:leader="none"/>
        </w:tabs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Ушинский К. Д. Избранные педагогические сочинения. — М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осква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: Просвещение, 1988.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Сухомлинский В. А. Сердце отдаю детям. — М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осква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: Педагогика, 1973.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Федеральный закон "Об образовании в Российской Федерации" от 29 декабря 2012 г. № 273-ФЗ (ред. от 01 января 2025 г.).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Skyeng Адаптив [Электронный ресурс]. — URL: https://skyeng.ru (дата обращения: 11.04.2025).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Учи.ру [Электронный ресурс]. — URL: https://uchi.ru (дата обращения: 11.04.2025).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p>
      <w:pPr>
        <w:pStyle w:val="642"/>
        <w:numPr>
          <w:ilvl w:val="0"/>
          <w:numId w:val="2"/>
        </w:numPr>
        <w:ind w:left="426" w:right="-1"/>
        <w:jc w:val="both"/>
        <w:spacing w:after="0"/>
        <w:rPr>
          <w:rFonts w:ascii="Times New Roman" w:hAnsi="Times New Roman" w:eastAsia="Times New Roman" w:cs="Times New Roman"/>
          <w:color w:val="404040"/>
          <w:sz w:val="24"/>
          <w:szCs w:val="24"/>
        </w:rPr>
      </w:pPr>
      <w:r>
        <w:rPr>
          <w:rFonts w:ascii="Times New Roman" w:hAnsi="Times New Roman" w:eastAsia="Times New Roman" w:cs="Times New Roman"/>
          <w:color w:val="404040"/>
          <w:sz w:val="24"/>
          <w:szCs w:val="24"/>
        </w:rPr>
        <w:t xml:space="preserve">Minecraft: Education Edition [Электронный ресурс]. — URL: https://education.minecraft.net (дата обращения: 11.04.2025).</w:t>
      </w:r>
      <w:r>
        <w:rPr>
          <w:rFonts w:ascii="Times New Roman" w:hAnsi="Times New Roman" w:eastAsia="Times New Roman" w:cs="Times New Roman"/>
          <w:color w:val="404040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/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08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0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2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4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96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68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0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2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4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8"/>
        <w:szCs w:val="28"/>
        <w:lang w:val="ru-RU" w:eastAsia="ru-RU" w:bidi="ar-SA"/>
      </w:rPr>
    </w:rPrDefault>
    <w:pPrDefault>
      <w:pPr>
        <w:spacing w:before="0" w:beforeAutospacing="0" w:after="160" w:afterAutospacing="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2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4"/>
    <w:link w:val="62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0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4"/>
    <w:link w:val="631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4"/>
    <w:link w:val="632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4"/>
    <w:link w:val="63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7"/>
    <w:next w:val="62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7"/>
    <w:next w:val="62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7"/>
    <w:next w:val="62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4"/>
    <w:link w:val="638"/>
    <w:uiPriority w:val="10"/>
    <w:rPr>
      <w:sz w:val="48"/>
      <w:szCs w:val="48"/>
    </w:rPr>
  </w:style>
  <w:style w:type="character" w:styleId="37">
    <w:name w:val="Subtitle Char"/>
    <w:basedOn w:val="634"/>
    <w:link w:val="639"/>
    <w:uiPriority w:val="11"/>
    <w:rPr>
      <w:sz w:val="24"/>
      <w:szCs w:val="24"/>
    </w:rPr>
  </w:style>
  <w:style w:type="paragraph" w:styleId="38">
    <w:name w:val="Quote"/>
    <w:basedOn w:val="627"/>
    <w:next w:val="62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7"/>
    <w:next w:val="62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2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27"/>
    <w:next w:val="62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2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27"/>
    <w:next w:val="62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7"/>
    <w:next w:val="62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7"/>
    <w:next w:val="62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7"/>
    <w:next w:val="62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7"/>
    <w:next w:val="62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7"/>
    <w:next w:val="62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7"/>
    <w:next w:val="62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7"/>
    <w:next w:val="62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7"/>
    <w:next w:val="62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7"/>
    <w:next w:val="627"/>
    <w:uiPriority w:val="99"/>
    <w:unhideWhenUsed/>
    <w:pPr>
      <w:spacing w:after="0" w:afterAutospacing="0"/>
    </w:pPr>
  </w:style>
  <w:style w:type="paragraph" w:styleId="627" w:default="1">
    <w:name w:val="Normal"/>
    <w:qFormat/>
  </w:style>
  <w:style w:type="paragraph" w:styleId="628">
    <w:name w:val="Heading 1"/>
    <w:basedOn w:val="627"/>
    <w:next w:val="62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29">
    <w:name w:val="Heading 2"/>
    <w:basedOn w:val="627"/>
    <w:next w:val="62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  <w:szCs w:val="34"/>
    </w:rPr>
  </w:style>
  <w:style w:type="paragraph" w:styleId="630">
    <w:name w:val="Heading 3"/>
    <w:basedOn w:val="627"/>
    <w:next w:val="62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31">
    <w:name w:val="Heading 4"/>
    <w:basedOn w:val="627"/>
    <w:next w:val="627"/>
    <w:uiPriority w:val="9"/>
    <w:semiHidden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sz w:val="26"/>
      <w:szCs w:val="26"/>
    </w:rPr>
  </w:style>
  <w:style w:type="paragraph" w:styleId="632">
    <w:name w:val="Heading 5"/>
    <w:basedOn w:val="627"/>
    <w:next w:val="627"/>
    <w:uiPriority w:val="9"/>
    <w:semiHidden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sz w:val="24"/>
      <w:szCs w:val="24"/>
    </w:rPr>
  </w:style>
  <w:style w:type="paragraph" w:styleId="633">
    <w:name w:val="Heading 6"/>
    <w:basedOn w:val="627"/>
    <w:next w:val="627"/>
    <w:uiPriority w:val="9"/>
    <w:semiHidden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sz w:val="22"/>
      <w:szCs w:val="22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table" w:styleId="637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638">
    <w:name w:val="Title"/>
    <w:basedOn w:val="627"/>
    <w:next w:val="627"/>
    <w:uiPriority w:val="10"/>
    <w:qFormat/>
    <w:pPr>
      <w:spacing w:before="300" w:after="200"/>
    </w:pPr>
    <w:rPr>
      <w:sz w:val="48"/>
      <w:szCs w:val="48"/>
    </w:rPr>
  </w:style>
  <w:style w:type="paragraph" w:styleId="639">
    <w:name w:val="Subtitle"/>
    <w:basedOn w:val="627"/>
    <w:next w:val="627"/>
    <w:uiPriority w:val="11"/>
    <w:qFormat/>
    <w:pPr>
      <w:spacing w:before="200" w:after="200"/>
    </w:pPr>
    <w:rPr>
      <w:sz w:val="24"/>
      <w:szCs w:val="24"/>
    </w:rPr>
  </w:style>
  <w:style w:type="character" w:styleId="640">
    <w:name w:val="Hyperlink"/>
    <w:basedOn w:val="634"/>
    <w:uiPriority w:val="99"/>
    <w:unhideWhenUsed/>
    <w:rPr>
      <w:color w:val="0000ff" w:themeColor="hyperlink"/>
      <w:u w:val="single"/>
    </w:rPr>
  </w:style>
  <w:style w:type="character" w:styleId="641">
    <w:name w:val="Unresolved Mention"/>
    <w:basedOn w:val="634"/>
    <w:uiPriority w:val="99"/>
    <w:semiHidden/>
    <w:unhideWhenUsed/>
    <w:rPr>
      <w:color w:val="605e5c"/>
      <w:shd w:val="clear" w:color="auto" w:fill="e1dfdd"/>
    </w:rPr>
  </w:style>
  <w:style w:type="paragraph" w:styleId="642">
    <w:name w:val="List Paragraph"/>
    <w:basedOn w:val="62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Ступаков</cp:lastModifiedBy>
  <cp:revision>5</cp:revision>
  <dcterms:created xsi:type="dcterms:W3CDTF">2025-04-11T11:55:00Z</dcterms:created>
  <dcterms:modified xsi:type="dcterms:W3CDTF">2025-04-13T10:41:38Z</dcterms:modified>
</cp:coreProperties>
</file>