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B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Правовой статус российских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эмигрантов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Маньчжурии</w:t>
      </w:r>
    </w:p>
    <w:p w14:paraId="2F360977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1917 - 1924 гг. </w:t>
      </w:r>
    </w:p>
    <w:p w14:paraId="5E51777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Казакова А.В.</w:t>
      </w:r>
    </w:p>
    <w:p w14:paraId="4F0FF5A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502E73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Алтайский государственный педагогический университет, Барнаул, Россия</w:t>
      </w:r>
    </w:p>
    <w:p w14:paraId="40E7DDB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dynauka.al@gmail.com </w:t>
      </w:r>
    </w:p>
    <w:p w14:paraId="5FB715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64D845F">
      <w:pPr>
        <w:spacing w:line="240" w:lineRule="auto"/>
        <w:ind w:firstLine="397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В конце XIX — начале XX вв. между Россией и Китаем были установлены дипломатические отношения. Государства договорились о взаимодействии в различных сферах, включая правовой статус российских подданных в Маньчжурии. В частности, к 1917 г. они получили право экстерриториальности которое предусматривало особые преимущества: неприкосновенность личности и жилища, неподсудность местным уголовным и гражданским судам, освобождение от повинностей и налогов. Кроме того, государствами взаимно были предоставлены аналогичные привилегии иностранным дипломатическим представителям) [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  <w14:ligatures w14:val="standardContextual"/>
        </w:rPr>
        <w:t>5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]. </w:t>
      </w:r>
    </w:p>
    <w:p w14:paraId="5B4A7594">
      <w:pPr>
        <w:spacing w:line="240" w:lineRule="auto"/>
        <w:ind w:firstLine="397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Однако, после Октябрьской революции в России 1917 года и последовавшей за ней гражданской войны, продлившейся до 1922 г. произошли кардинальные изменения в положение российских подданных на территории Маньчжурии.</w:t>
      </w:r>
    </w:p>
    <w:p w14:paraId="1DFAEB3D">
      <w:pPr>
        <w:spacing w:line="240" w:lineRule="auto"/>
        <w:ind w:firstLine="397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работе будет рассмотрен 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волна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эмиграции с территории Российской империи в Китай с 1917 по 1924 гг., которая явилась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следствием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  <w14:ligatures w14:val="standardContextual"/>
        </w:rPr>
        <w:t xml:space="preserve">вышеуказанных внутриполитических событий в России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[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  <w14:ligatures w14:val="standardContextual"/>
        </w:rPr>
        <w:t>3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].</w:t>
      </w:r>
    </w:p>
    <w:p w14:paraId="6F10222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причиной массовой эмиграция на территорию Маньчжурии в </w:t>
      </w:r>
      <w:r>
        <w:rPr>
          <w:rFonts w:ascii="Times New Roman" w:hAnsi="Times New Roman" w:cs="Times New Roman"/>
          <w:sz w:val="24"/>
          <w:szCs w:val="24"/>
          <w:lang w:val="ru-RU"/>
        </w:rPr>
        <w:t>рассматриваемый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период стало </w:t>
      </w:r>
      <w:r>
        <w:rPr>
          <w:rFonts w:ascii="Times New Roman" w:hAnsi="Times New Roman" w:eastAsia="Yandex Sans Text" w:cs="Times New Roman"/>
          <w:sz w:val="24"/>
          <w:szCs w:val="24"/>
          <w:shd w:val="clear" w:color="auto" w:fill="FFFFFF"/>
        </w:rPr>
        <w:t>стремление найти безопасное место, где можно укрыться от военных событий, разворачивавшихся на территории России, а также несогласие с политикой, проводимой советскими властями в различных областях</w:t>
      </w:r>
      <w:r>
        <w:rPr>
          <w:rFonts w:hint="default" w:ascii="Times New Roman" w:hAnsi="Times New Roman" w:eastAsia="Yandex Sans Text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Yandex Sans Text" w:cs="Times New Roman"/>
          <w:sz w:val="24"/>
          <w:szCs w:val="24"/>
          <w:shd w:val="clear" w:color="auto" w:fill="FFFFFF"/>
          <w:lang w:val="en-US"/>
        </w:rPr>
        <w:t>[</w:t>
      </w:r>
      <w:r>
        <w:rPr>
          <w:rFonts w:hint="default" w:ascii="Times New Roman" w:hAnsi="Times New Roman" w:eastAsia="Yandex Sans Text" w:cs="Times New Roman"/>
          <w:sz w:val="24"/>
          <w:szCs w:val="24"/>
          <w:shd w:val="clear" w:color="auto" w:fill="FFFFFF"/>
          <w:lang w:val="ru-RU"/>
        </w:rPr>
        <w:t>1</w:t>
      </w:r>
      <w:r>
        <w:rPr>
          <w:rFonts w:hint="default" w:ascii="Times New Roman" w:hAnsi="Times New Roman" w:eastAsia="Yandex Sans Text" w:cs="Times New Roman"/>
          <w:sz w:val="24"/>
          <w:szCs w:val="24"/>
          <w:shd w:val="clear" w:color="auto" w:fill="FFFFFF"/>
          <w:lang w:val="en-US"/>
        </w:rPr>
        <w:t>]</w:t>
      </w:r>
      <w:r>
        <w:rPr>
          <w:rFonts w:ascii="Times New Roman" w:hAnsi="Times New Roman" w:eastAsia="Yandex Sans Text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16ADB">
      <w:pPr>
        <w:spacing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Центром русской эмиграции в 1920-е гг. стала столица Маньчжурии – г. Харбин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который с начала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XX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в. был административном центром для российских подданных.</w:t>
      </w:r>
      <w:r>
        <w:rPr>
          <w:rFonts w:ascii="Times New Roman" w:hAnsi="Times New Roman" w:cs="Times New Roman"/>
          <w:sz w:val="24"/>
          <w:szCs w:val="24"/>
        </w:rPr>
        <w:t xml:space="preserve"> В 1918 г. население русских в Харбине составило 60 тыс. чел. Их численность увеличивалась с каждым годом: в 1920 г. — 131 073 чел., 1922 г. — 155 402 чел., 1923 — 165 857 чел.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507944A2">
      <w:pPr>
        <w:spacing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начала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XX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в. на территории полосы отчуждения при КВЖД был определён правовой статус российских поданных и создана административно-правовая система, которая обеспечивала его соблюдение.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Однако, после Октябрьской революции дипломатические соглашения между Россией и Китаем прекратили действовать из-за непризнания нового советского правительства Китаем. Это создало правовую неопределённость для российских эмигрантов в Маньчжурии, требующую урегулирования. </w:t>
      </w:r>
    </w:p>
    <w:p w14:paraId="78CC35C9">
      <w:pPr>
        <w:spacing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1917 - 1919 гг. в Маньчжурии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борьба за установление власти над этой территорией между представителями «красных» и «белых». 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1918 г. административная власть в полосе отсуждения и управление дорогой по-прежнему оставались в руках генерала Д. Л. Хорвата, который занимал должность управляющего железной дороги. Но правовое положение как самой КВЖД, так и российского населения на линии слало в 1918 г. очень неопределённым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. </w:t>
      </w:r>
    </w:p>
    <w:p w14:paraId="61D72E17">
      <w:pPr>
        <w:spacing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Политическая нестабильность в Маньчжурии привела к тому, что в 1919 г. некоторыми странами была совершена попытка установления международного контроля над КВЖД с помощью создания Межсоюзного железнодорожного комитета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[1]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Однако, эта инициативы была пресечена китайскими властями, которые решились на восстановление своей власти на данной территории. </w:t>
      </w:r>
    </w:p>
    <w:p w14:paraId="3F2AE43E">
      <w:pPr>
        <w:spacing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 октября 1920 г. министр путей сообщения Китая Е Гунчжо подписал с Русско-Азиатским банком соглашение «О совместном управлении Китайско-Восточной железной дорогой». документе говорилось, что Китай временно берет на себя верховный контроль из-за дезорганизации России. Договор предусматривал замену русской полиции китайской. Это стало правовой основой для перехода дороги под контроль Пекина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[2]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2C6C2645">
      <w:pPr>
        <w:spacing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 тому же, декретом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президента Китайской Республики от 23 сентября 1920 года, было отменено право экстерриториальности у российских подданных, находившихся на территории Маньчжурии. Согласно декрету был закрыт русский суд, а вместо него был создан китайский суд для русских, в котором для разрешения юридических споров среди российских поселенцев делались попытки применять китайское законодательство, что нередко приводило к недоразумениям. Помимо китайских судов действовала китайская полиция, охрана, административные органы управления КВЖД, китайские органы управления образованием, в связи с чем проводилась китаизация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.</w:t>
      </w:r>
    </w:p>
    <w:p w14:paraId="7A45D921">
      <w:pPr>
        <w:spacing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В 1924 г. советское правительство подписывает соглашение о КВЖД с пекинским правительством. Советский Союз согласился на то, чтобы граждане СССР, проживавшие в Китае, подчинялись китайской юрисдикции. В их отношении действовали статусные и экономические ограничения, например, была запрещена долгосрочная аренда земли, вплоть до начала Второй мировой войны. В то же время другие иностранцы продолжали пользоваться правами экстерриториальности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[1]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. Такая ситуация сохранялась до продажи дороги в 1935 году.</w:t>
      </w:r>
    </w:p>
    <w:p w14:paraId="6C61BBB8">
      <w:pPr>
        <w:spacing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sz w:val="24"/>
          <w:szCs w:val="24"/>
        </w:rPr>
        <w:t>Таким образом мы можем констатировать факт, что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 xml:space="preserve"> результате принятых соглашений изменился политико-правовой статус русских эмигрантов, что привело к его ухудшению. Это было связано с ограничением правоспособности представителей российской диаспоры как отдельных лиц, изменением подведомственности административных органов и государственных учреждений, которые выполняли функции управления территорией Маньчжурии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[4]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.</w:t>
      </w:r>
    </w:p>
    <w:p w14:paraId="496493F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литературы:</w:t>
      </w:r>
    </w:p>
    <w:p w14:paraId="5567DD11">
      <w:pPr>
        <w:pStyle w:val="9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Аблажей, Н. Н. С востока на восток: Российская эмиграция в Китае / Н . Н. Аблажей. – Новосибирск : Издательство СО РАН, 2007. – 300 с. </w:t>
      </w:r>
    </w:p>
    <w:p w14:paraId="13F272FA">
      <w:pPr>
        <w:pStyle w:val="9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Аблова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Н. Е. КВЖД и российская эмиграция в Китае: международные и политические аспекты истории (первая половина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XX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в.) / Н. Е. Аблова. - Москва: НП ИД «Русская панорами», 2004. - 432 с.</w:t>
      </w:r>
    </w:p>
    <w:p w14:paraId="0AC2D550">
      <w:pPr>
        <w:pStyle w:val="9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Бабкина Е. С. Русская диаспора в Китае в конце XIX – середине XX вв.: условия формирования, демографические характеристики, правовой статус // ВЕСТНИК ТОГУ, 2017. – № 3 – С. 235–244   </w:t>
      </w:r>
    </w:p>
    <w:p w14:paraId="0E087DD5">
      <w:pPr>
        <w:pStyle w:val="9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Бакулина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А. А. 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К вопросу о государственном регулировании положения российских эмигрантов в Маньчжурии (1918 – 1945 гг.) // Ойкумена, 2011. - № 1 - С. 60-67</w:t>
      </w:r>
    </w:p>
    <w:p w14:paraId="27BB9B3E">
      <w:pPr>
        <w:pStyle w:val="9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Евгеньева А. П. Словарь русского языка: В 4-х т. / РАН, Институт лингвистических исследований / под ред. А. П. Евгеньевой. — 4-е изд., стер. — Москва: Русский язык: Полиграфресурсы, 1999.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>
        <w:fldChar w:fldCharType="begin"/>
      </w:r>
      <w:r>
        <w:instrText xml:space="preserve"> HYPERLINK "http://feb-web.ru/feb/mas/mas-abc/30/ma475318.htm?cmd=0&amp;istext=1"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http://feb-web.ru/feb/mas/mas-abc/30/ma475318.htm?cmd=0&amp;istext=1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8F626E">
      <w:pPr>
        <w:pStyle w:val="9"/>
        <w:numPr>
          <w:ilvl w:val="0"/>
          <w:numId w:val="2"/>
        </w:numPr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Чень Цюцзе. Влияние КВЖД на численность населения Харбина. // Россия и АТР, 2011. – №1 – С. 80–85 </w:t>
      </w:r>
    </w:p>
    <w:p w14:paraId="6823E75C">
      <w:pPr>
        <w:pStyle w:val="9"/>
        <w:spacing w:line="240" w:lineRule="auto"/>
        <w:ind w:left="140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Yandex Sans Tex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ewton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93849DC"/>
    <w:multiLevelType w:val="multilevel"/>
    <w:tmpl w:val="693849DC"/>
    <w:lvl w:ilvl="0" w:tentative="0">
      <w:start w:val="1"/>
      <w:numFmt w:val="decimal"/>
      <w:lvlText w:val="%1."/>
      <w:lvlJc w:val="left"/>
      <w:pPr>
        <w:ind w:left="1400" w:hanging="360"/>
      </w:pPr>
    </w:lvl>
    <w:lvl w:ilvl="1" w:tentative="0">
      <w:start w:val="1"/>
      <w:numFmt w:val="lowerLetter"/>
      <w:lvlText w:val="%2."/>
      <w:lvlJc w:val="left"/>
      <w:pPr>
        <w:ind w:left="2120" w:hanging="360"/>
      </w:pPr>
    </w:lvl>
    <w:lvl w:ilvl="2" w:tentative="0">
      <w:start w:val="1"/>
      <w:numFmt w:val="lowerRoman"/>
      <w:lvlText w:val="%3."/>
      <w:lvlJc w:val="right"/>
      <w:pPr>
        <w:ind w:left="2840" w:hanging="180"/>
      </w:pPr>
    </w:lvl>
    <w:lvl w:ilvl="3" w:tentative="0">
      <w:start w:val="1"/>
      <w:numFmt w:val="decimal"/>
      <w:lvlText w:val="%4."/>
      <w:lvlJc w:val="left"/>
      <w:pPr>
        <w:ind w:left="3560" w:hanging="360"/>
      </w:pPr>
    </w:lvl>
    <w:lvl w:ilvl="4" w:tentative="0">
      <w:start w:val="1"/>
      <w:numFmt w:val="lowerLetter"/>
      <w:lvlText w:val="%5."/>
      <w:lvlJc w:val="left"/>
      <w:pPr>
        <w:ind w:left="4280" w:hanging="360"/>
      </w:pPr>
    </w:lvl>
    <w:lvl w:ilvl="5" w:tentative="0">
      <w:start w:val="1"/>
      <w:numFmt w:val="lowerRoman"/>
      <w:lvlText w:val="%6."/>
      <w:lvlJc w:val="right"/>
      <w:pPr>
        <w:ind w:left="5000" w:hanging="180"/>
      </w:pPr>
    </w:lvl>
    <w:lvl w:ilvl="6" w:tentative="0">
      <w:start w:val="1"/>
      <w:numFmt w:val="decimal"/>
      <w:lvlText w:val="%7."/>
      <w:lvlJc w:val="left"/>
      <w:pPr>
        <w:ind w:left="5720" w:hanging="360"/>
      </w:pPr>
    </w:lvl>
    <w:lvl w:ilvl="7" w:tentative="0">
      <w:start w:val="1"/>
      <w:numFmt w:val="lowerLetter"/>
      <w:lvlText w:val="%8."/>
      <w:lvlJc w:val="left"/>
      <w:pPr>
        <w:ind w:left="6440" w:hanging="360"/>
      </w:pPr>
    </w:lvl>
    <w:lvl w:ilvl="8" w:tentative="0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87"/>
    <w:rsid w:val="00000677"/>
    <w:rsid w:val="00000830"/>
    <w:rsid w:val="00006229"/>
    <w:rsid w:val="00010A85"/>
    <w:rsid w:val="00012A99"/>
    <w:rsid w:val="00020D72"/>
    <w:rsid w:val="000311E9"/>
    <w:rsid w:val="0003423E"/>
    <w:rsid w:val="00042F60"/>
    <w:rsid w:val="00047B4B"/>
    <w:rsid w:val="0005293E"/>
    <w:rsid w:val="000631BD"/>
    <w:rsid w:val="00064B6B"/>
    <w:rsid w:val="000726E2"/>
    <w:rsid w:val="00084F95"/>
    <w:rsid w:val="00085237"/>
    <w:rsid w:val="00091941"/>
    <w:rsid w:val="000970B9"/>
    <w:rsid w:val="000A64EF"/>
    <w:rsid w:val="000B3304"/>
    <w:rsid w:val="000C2C26"/>
    <w:rsid w:val="000C2F86"/>
    <w:rsid w:val="000C31AB"/>
    <w:rsid w:val="000C7443"/>
    <w:rsid w:val="000D07A0"/>
    <w:rsid w:val="000D398F"/>
    <w:rsid w:val="000E3F9D"/>
    <w:rsid w:val="000E41F1"/>
    <w:rsid w:val="000E5B65"/>
    <w:rsid w:val="000E6E7C"/>
    <w:rsid w:val="000F0C96"/>
    <w:rsid w:val="000F27BE"/>
    <w:rsid w:val="000F4AA3"/>
    <w:rsid w:val="00103D01"/>
    <w:rsid w:val="00106FF3"/>
    <w:rsid w:val="00107B98"/>
    <w:rsid w:val="0012083E"/>
    <w:rsid w:val="00123411"/>
    <w:rsid w:val="001325F5"/>
    <w:rsid w:val="0014357B"/>
    <w:rsid w:val="00143C49"/>
    <w:rsid w:val="0015056C"/>
    <w:rsid w:val="001534AC"/>
    <w:rsid w:val="00157DDB"/>
    <w:rsid w:val="001643F7"/>
    <w:rsid w:val="00184566"/>
    <w:rsid w:val="00185BEB"/>
    <w:rsid w:val="00191CF2"/>
    <w:rsid w:val="0019266B"/>
    <w:rsid w:val="001B5BA4"/>
    <w:rsid w:val="001B64D1"/>
    <w:rsid w:val="001C22CB"/>
    <w:rsid w:val="001C2B4B"/>
    <w:rsid w:val="001C45F6"/>
    <w:rsid w:val="001D4047"/>
    <w:rsid w:val="001E0E53"/>
    <w:rsid w:val="001F1CD5"/>
    <w:rsid w:val="001F7E9E"/>
    <w:rsid w:val="00203D5E"/>
    <w:rsid w:val="00205087"/>
    <w:rsid w:val="00207007"/>
    <w:rsid w:val="002106DB"/>
    <w:rsid w:val="002244A2"/>
    <w:rsid w:val="00231319"/>
    <w:rsid w:val="00233082"/>
    <w:rsid w:val="00237C49"/>
    <w:rsid w:val="00241F38"/>
    <w:rsid w:val="00243DAA"/>
    <w:rsid w:val="0024441C"/>
    <w:rsid w:val="002569E6"/>
    <w:rsid w:val="002603A2"/>
    <w:rsid w:val="0026136D"/>
    <w:rsid w:val="00267385"/>
    <w:rsid w:val="00270E74"/>
    <w:rsid w:val="002716DF"/>
    <w:rsid w:val="00271D5D"/>
    <w:rsid w:val="0027592F"/>
    <w:rsid w:val="00285806"/>
    <w:rsid w:val="00286349"/>
    <w:rsid w:val="00290C8A"/>
    <w:rsid w:val="002915EA"/>
    <w:rsid w:val="00297950"/>
    <w:rsid w:val="002A119B"/>
    <w:rsid w:val="002A419D"/>
    <w:rsid w:val="002B3B36"/>
    <w:rsid w:val="002D2D5E"/>
    <w:rsid w:val="002F71E8"/>
    <w:rsid w:val="00300932"/>
    <w:rsid w:val="00300FC0"/>
    <w:rsid w:val="0030424B"/>
    <w:rsid w:val="00304CAA"/>
    <w:rsid w:val="00305138"/>
    <w:rsid w:val="00317A74"/>
    <w:rsid w:val="003331F4"/>
    <w:rsid w:val="003339AD"/>
    <w:rsid w:val="0034128D"/>
    <w:rsid w:val="00344CE8"/>
    <w:rsid w:val="00351D44"/>
    <w:rsid w:val="00354BC5"/>
    <w:rsid w:val="00372EA7"/>
    <w:rsid w:val="0037370B"/>
    <w:rsid w:val="00373C23"/>
    <w:rsid w:val="003829DF"/>
    <w:rsid w:val="003871A4"/>
    <w:rsid w:val="00391949"/>
    <w:rsid w:val="0039267D"/>
    <w:rsid w:val="003932E9"/>
    <w:rsid w:val="00394BF1"/>
    <w:rsid w:val="003B1949"/>
    <w:rsid w:val="003B4C5E"/>
    <w:rsid w:val="003B6495"/>
    <w:rsid w:val="003C3EB5"/>
    <w:rsid w:val="003C7607"/>
    <w:rsid w:val="003D0486"/>
    <w:rsid w:val="003D0FF4"/>
    <w:rsid w:val="003D2022"/>
    <w:rsid w:val="003E1491"/>
    <w:rsid w:val="003E1AB4"/>
    <w:rsid w:val="003E33F7"/>
    <w:rsid w:val="003F7173"/>
    <w:rsid w:val="003F7651"/>
    <w:rsid w:val="003F77CF"/>
    <w:rsid w:val="003F7803"/>
    <w:rsid w:val="00401158"/>
    <w:rsid w:val="004107E6"/>
    <w:rsid w:val="0041268F"/>
    <w:rsid w:val="00415E11"/>
    <w:rsid w:val="0041627C"/>
    <w:rsid w:val="00421EBF"/>
    <w:rsid w:val="0042695E"/>
    <w:rsid w:val="00433473"/>
    <w:rsid w:val="004533D4"/>
    <w:rsid w:val="00455670"/>
    <w:rsid w:val="004566DE"/>
    <w:rsid w:val="0046363F"/>
    <w:rsid w:val="0046563F"/>
    <w:rsid w:val="0047326A"/>
    <w:rsid w:val="0047360C"/>
    <w:rsid w:val="00477D72"/>
    <w:rsid w:val="00487DF4"/>
    <w:rsid w:val="004A14D2"/>
    <w:rsid w:val="004A367B"/>
    <w:rsid w:val="004B3DF1"/>
    <w:rsid w:val="004B494C"/>
    <w:rsid w:val="004C18D4"/>
    <w:rsid w:val="004C7A69"/>
    <w:rsid w:val="004E07B6"/>
    <w:rsid w:val="004E1E93"/>
    <w:rsid w:val="004E2C55"/>
    <w:rsid w:val="004E43AC"/>
    <w:rsid w:val="004F5126"/>
    <w:rsid w:val="00505C75"/>
    <w:rsid w:val="00515172"/>
    <w:rsid w:val="005152D1"/>
    <w:rsid w:val="00527712"/>
    <w:rsid w:val="00536539"/>
    <w:rsid w:val="00536C94"/>
    <w:rsid w:val="00543C4B"/>
    <w:rsid w:val="00544E65"/>
    <w:rsid w:val="00551D38"/>
    <w:rsid w:val="00553BC6"/>
    <w:rsid w:val="00555394"/>
    <w:rsid w:val="00565FDA"/>
    <w:rsid w:val="005826E9"/>
    <w:rsid w:val="00584AC7"/>
    <w:rsid w:val="0058784C"/>
    <w:rsid w:val="00597364"/>
    <w:rsid w:val="005A383F"/>
    <w:rsid w:val="005A39C4"/>
    <w:rsid w:val="005B29E4"/>
    <w:rsid w:val="005B5EBC"/>
    <w:rsid w:val="005B6388"/>
    <w:rsid w:val="005C031E"/>
    <w:rsid w:val="005C708D"/>
    <w:rsid w:val="005D0272"/>
    <w:rsid w:val="005D1DF7"/>
    <w:rsid w:val="005E1B89"/>
    <w:rsid w:val="005E22B9"/>
    <w:rsid w:val="005E52F5"/>
    <w:rsid w:val="005F1E57"/>
    <w:rsid w:val="005F2E1F"/>
    <w:rsid w:val="005F5136"/>
    <w:rsid w:val="005F566E"/>
    <w:rsid w:val="005F5CDC"/>
    <w:rsid w:val="0060297B"/>
    <w:rsid w:val="00604E57"/>
    <w:rsid w:val="00610236"/>
    <w:rsid w:val="00612042"/>
    <w:rsid w:val="00616E6D"/>
    <w:rsid w:val="00622404"/>
    <w:rsid w:val="00624CD1"/>
    <w:rsid w:val="00631418"/>
    <w:rsid w:val="00637DD2"/>
    <w:rsid w:val="0064004C"/>
    <w:rsid w:val="0065520F"/>
    <w:rsid w:val="006619B7"/>
    <w:rsid w:val="00666094"/>
    <w:rsid w:val="00667E21"/>
    <w:rsid w:val="00680650"/>
    <w:rsid w:val="00683AA7"/>
    <w:rsid w:val="006A1A67"/>
    <w:rsid w:val="006A55FC"/>
    <w:rsid w:val="006A61B2"/>
    <w:rsid w:val="006B1441"/>
    <w:rsid w:val="006D2D09"/>
    <w:rsid w:val="006D3897"/>
    <w:rsid w:val="006D75BD"/>
    <w:rsid w:val="006E53F4"/>
    <w:rsid w:val="006E7BE5"/>
    <w:rsid w:val="0070735B"/>
    <w:rsid w:val="00710C2D"/>
    <w:rsid w:val="00713521"/>
    <w:rsid w:val="00714A21"/>
    <w:rsid w:val="00724C66"/>
    <w:rsid w:val="00725484"/>
    <w:rsid w:val="0073349B"/>
    <w:rsid w:val="007336C2"/>
    <w:rsid w:val="0073567D"/>
    <w:rsid w:val="00743643"/>
    <w:rsid w:val="0074422D"/>
    <w:rsid w:val="0076531F"/>
    <w:rsid w:val="007713A8"/>
    <w:rsid w:val="00776A0B"/>
    <w:rsid w:val="00782D93"/>
    <w:rsid w:val="00784E09"/>
    <w:rsid w:val="00785D90"/>
    <w:rsid w:val="007A21C0"/>
    <w:rsid w:val="007A5A05"/>
    <w:rsid w:val="007A5BE9"/>
    <w:rsid w:val="007B1654"/>
    <w:rsid w:val="007B1D53"/>
    <w:rsid w:val="007B4B46"/>
    <w:rsid w:val="007C355A"/>
    <w:rsid w:val="007D22AF"/>
    <w:rsid w:val="007D28CB"/>
    <w:rsid w:val="007D5068"/>
    <w:rsid w:val="007E60F8"/>
    <w:rsid w:val="007E6498"/>
    <w:rsid w:val="007F0C7A"/>
    <w:rsid w:val="007F0CFB"/>
    <w:rsid w:val="007F1B29"/>
    <w:rsid w:val="0080224D"/>
    <w:rsid w:val="00805692"/>
    <w:rsid w:val="00812BF5"/>
    <w:rsid w:val="00815876"/>
    <w:rsid w:val="0082323A"/>
    <w:rsid w:val="008233F5"/>
    <w:rsid w:val="008247C8"/>
    <w:rsid w:val="00827AEF"/>
    <w:rsid w:val="00841400"/>
    <w:rsid w:val="00853A7E"/>
    <w:rsid w:val="00853D84"/>
    <w:rsid w:val="00857D35"/>
    <w:rsid w:val="00860BFC"/>
    <w:rsid w:val="0086609A"/>
    <w:rsid w:val="008660DE"/>
    <w:rsid w:val="00872D28"/>
    <w:rsid w:val="00874C97"/>
    <w:rsid w:val="0088511C"/>
    <w:rsid w:val="008856CB"/>
    <w:rsid w:val="008869A4"/>
    <w:rsid w:val="008A6114"/>
    <w:rsid w:val="008A66D6"/>
    <w:rsid w:val="008B100F"/>
    <w:rsid w:val="008C25E6"/>
    <w:rsid w:val="008C6433"/>
    <w:rsid w:val="008D6FDF"/>
    <w:rsid w:val="008D7D3B"/>
    <w:rsid w:val="008E25A0"/>
    <w:rsid w:val="008E499C"/>
    <w:rsid w:val="008E64FD"/>
    <w:rsid w:val="008F7D16"/>
    <w:rsid w:val="009016BA"/>
    <w:rsid w:val="0091155F"/>
    <w:rsid w:val="00914BC6"/>
    <w:rsid w:val="00914DC6"/>
    <w:rsid w:val="009227DB"/>
    <w:rsid w:val="00925B42"/>
    <w:rsid w:val="00927494"/>
    <w:rsid w:val="00936008"/>
    <w:rsid w:val="00936E3B"/>
    <w:rsid w:val="00951026"/>
    <w:rsid w:val="009711DF"/>
    <w:rsid w:val="00972706"/>
    <w:rsid w:val="00972ECE"/>
    <w:rsid w:val="009775B0"/>
    <w:rsid w:val="009927B8"/>
    <w:rsid w:val="00993D0F"/>
    <w:rsid w:val="009A04A8"/>
    <w:rsid w:val="009A6E43"/>
    <w:rsid w:val="009B4A8B"/>
    <w:rsid w:val="009B6729"/>
    <w:rsid w:val="009B6876"/>
    <w:rsid w:val="009B7FEF"/>
    <w:rsid w:val="009C726C"/>
    <w:rsid w:val="009D22A9"/>
    <w:rsid w:val="009D2A7B"/>
    <w:rsid w:val="009E6B5F"/>
    <w:rsid w:val="009E7F5E"/>
    <w:rsid w:val="009F3263"/>
    <w:rsid w:val="009F6E66"/>
    <w:rsid w:val="00A011F9"/>
    <w:rsid w:val="00A02BE8"/>
    <w:rsid w:val="00A04A84"/>
    <w:rsid w:val="00A052C3"/>
    <w:rsid w:val="00A148CE"/>
    <w:rsid w:val="00A16EB3"/>
    <w:rsid w:val="00A175C8"/>
    <w:rsid w:val="00A17605"/>
    <w:rsid w:val="00A25262"/>
    <w:rsid w:val="00A25EDA"/>
    <w:rsid w:val="00A50B76"/>
    <w:rsid w:val="00A542A8"/>
    <w:rsid w:val="00A67414"/>
    <w:rsid w:val="00A7008B"/>
    <w:rsid w:val="00A73B4A"/>
    <w:rsid w:val="00A76F02"/>
    <w:rsid w:val="00A83118"/>
    <w:rsid w:val="00A87A54"/>
    <w:rsid w:val="00AA225B"/>
    <w:rsid w:val="00AA3734"/>
    <w:rsid w:val="00AA3783"/>
    <w:rsid w:val="00AA5B6C"/>
    <w:rsid w:val="00AA6A66"/>
    <w:rsid w:val="00AA6B88"/>
    <w:rsid w:val="00AB2AB2"/>
    <w:rsid w:val="00AC57B1"/>
    <w:rsid w:val="00AD2482"/>
    <w:rsid w:val="00AD4582"/>
    <w:rsid w:val="00AD5A8A"/>
    <w:rsid w:val="00AE3A31"/>
    <w:rsid w:val="00AF01A5"/>
    <w:rsid w:val="00AF0722"/>
    <w:rsid w:val="00AF1201"/>
    <w:rsid w:val="00AF33EA"/>
    <w:rsid w:val="00AF4332"/>
    <w:rsid w:val="00AF4F93"/>
    <w:rsid w:val="00B031AC"/>
    <w:rsid w:val="00B03A7B"/>
    <w:rsid w:val="00B047F1"/>
    <w:rsid w:val="00B15DBC"/>
    <w:rsid w:val="00B16F83"/>
    <w:rsid w:val="00B204E8"/>
    <w:rsid w:val="00B22F1C"/>
    <w:rsid w:val="00B26317"/>
    <w:rsid w:val="00B359B2"/>
    <w:rsid w:val="00B43CF7"/>
    <w:rsid w:val="00B47496"/>
    <w:rsid w:val="00B52822"/>
    <w:rsid w:val="00B73E2D"/>
    <w:rsid w:val="00B801B8"/>
    <w:rsid w:val="00B8170E"/>
    <w:rsid w:val="00B82B0F"/>
    <w:rsid w:val="00B87171"/>
    <w:rsid w:val="00B90F75"/>
    <w:rsid w:val="00B92030"/>
    <w:rsid w:val="00B94349"/>
    <w:rsid w:val="00BA265E"/>
    <w:rsid w:val="00BA2843"/>
    <w:rsid w:val="00BA429F"/>
    <w:rsid w:val="00BB7463"/>
    <w:rsid w:val="00BC19C9"/>
    <w:rsid w:val="00BC21D4"/>
    <w:rsid w:val="00BC59D3"/>
    <w:rsid w:val="00BD7C0E"/>
    <w:rsid w:val="00BE0356"/>
    <w:rsid w:val="00BE2DAE"/>
    <w:rsid w:val="00BE4068"/>
    <w:rsid w:val="00BF2A48"/>
    <w:rsid w:val="00C015A1"/>
    <w:rsid w:val="00C106F7"/>
    <w:rsid w:val="00C10D7D"/>
    <w:rsid w:val="00C12DF3"/>
    <w:rsid w:val="00C13181"/>
    <w:rsid w:val="00C36F5B"/>
    <w:rsid w:val="00C377CA"/>
    <w:rsid w:val="00C41D88"/>
    <w:rsid w:val="00C47A86"/>
    <w:rsid w:val="00C5431C"/>
    <w:rsid w:val="00C64637"/>
    <w:rsid w:val="00C717FF"/>
    <w:rsid w:val="00C74351"/>
    <w:rsid w:val="00C76962"/>
    <w:rsid w:val="00C86469"/>
    <w:rsid w:val="00C91F68"/>
    <w:rsid w:val="00C939D7"/>
    <w:rsid w:val="00C94BC3"/>
    <w:rsid w:val="00C95587"/>
    <w:rsid w:val="00C955E4"/>
    <w:rsid w:val="00CA3312"/>
    <w:rsid w:val="00CA50F2"/>
    <w:rsid w:val="00CB709F"/>
    <w:rsid w:val="00CC682D"/>
    <w:rsid w:val="00CE0B00"/>
    <w:rsid w:val="00CE2B0E"/>
    <w:rsid w:val="00CE759E"/>
    <w:rsid w:val="00CF799B"/>
    <w:rsid w:val="00D04103"/>
    <w:rsid w:val="00D21647"/>
    <w:rsid w:val="00D43149"/>
    <w:rsid w:val="00D5025E"/>
    <w:rsid w:val="00D50D86"/>
    <w:rsid w:val="00D51C6C"/>
    <w:rsid w:val="00D54384"/>
    <w:rsid w:val="00D57325"/>
    <w:rsid w:val="00D665E1"/>
    <w:rsid w:val="00D70DFA"/>
    <w:rsid w:val="00D71CEC"/>
    <w:rsid w:val="00D72FA0"/>
    <w:rsid w:val="00D81494"/>
    <w:rsid w:val="00D8329A"/>
    <w:rsid w:val="00D85A3C"/>
    <w:rsid w:val="00D87F83"/>
    <w:rsid w:val="00D90B3F"/>
    <w:rsid w:val="00D91067"/>
    <w:rsid w:val="00DA176E"/>
    <w:rsid w:val="00DB0690"/>
    <w:rsid w:val="00DB3609"/>
    <w:rsid w:val="00DC13FD"/>
    <w:rsid w:val="00DC4F5B"/>
    <w:rsid w:val="00DC52A6"/>
    <w:rsid w:val="00DD10A6"/>
    <w:rsid w:val="00DD406C"/>
    <w:rsid w:val="00DD5468"/>
    <w:rsid w:val="00DD6FAD"/>
    <w:rsid w:val="00DD7A28"/>
    <w:rsid w:val="00DE42D5"/>
    <w:rsid w:val="00DF2024"/>
    <w:rsid w:val="00DF4610"/>
    <w:rsid w:val="00E00A5E"/>
    <w:rsid w:val="00E01EC3"/>
    <w:rsid w:val="00E01FE1"/>
    <w:rsid w:val="00E02141"/>
    <w:rsid w:val="00E023AB"/>
    <w:rsid w:val="00E17FC1"/>
    <w:rsid w:val="00E2269E"/>
    <w:rsid w:val="00E238A7"/>
    <w:rsid w:val="00E31CA8"/>
    <w:rsid w:val="00E32680"/>
    <w:rsid w:val="00E3572A"/>
    <w:rsid w:val="00E371A8"/>
    <w:rsid w:val="00E409EC"/>
    <w:rsid w:val="00E4145D"/>
    <w:rsid w:val="00E44B14"/>
    <w:rsid w:val="00E62C1A"/>
    <w:rsid w:val="00E64E20"/>
    <w:rsid w:val="00E763F4"/>
    <w:rsid w:val="00E7679D"/>
    <w:rsid w:val="00E76BB9"/>
    <w:rsid w:val="00E772D7"/>
    <w:rsid w:val="00E833BC"/>
    <w:rsid w:val="00E836D5"/>
    <w:rsid w:val="00E97AFB"/>
    <w:rsid w:val="00EA29F8"/>
    <w:rsid w:val="00EB07AC"/>
    <w:rsid w:val="00EB34CD"/>
    <w:rsid w:val="00EC21C8"/>
    <w:rsid w:val="00EC24F3"/>
    <w:rsid w:val="00EC3389"/>
    <w:rsid w:val="00EC5D6C"/>
    <w:rsid w:val="00EC7E35"/>
    <w:rsid w:val="00EE1AB7"/>
    <w:rsid w:val="00EF2050"/>
    <w:rsid w:val="00EF5FF4"/>
    <w:rsid w:val="00F06298"/>
    <w:rsid w:val="00F10105"/>
    <w:rsid w:val="00F16799"/>
    <w:rsid w:val="00F229CE"/>
    <w:rsid w:val="00F30225"/>
    <w:rsid w:val="00F34300"/>
    <w:rsid w:val="00F368CB"/>
    <w:rsid w:val="00F37974"/>
    <w:rsid w:val="00F51472"/>
    <w:rsid w:val="00F530D2"/>
    <w:rsid w:val="00F552A8"/>
    <w:rsid w:val="00F55711"/>
    <w:rsid w:val="00F66E39"/>
    <w:rsid w:val="00F70AC3"/>
    <w:rsid w:val="00F72CF8"/>
    <w:rsid w:val="00F7341C"/>
    <w:rsid w:val="00F91862"/>
    <w:rsid w:val="00FA12B9"/>
    <w:rsid w:val="00FA42D0"/>
    <w:rsid w:val="00FB2802"/>
    <w:rsid w:val="00FB396F"/>
    <w:rsid w:val="00FB598B"/>
    <w:rsid w:val="00FB653F"/>
    <w:rsid w:val="00FC285A"/>
    <w:rsid w:val="00FC2AAD"/>
    <w:rsid w:val="00FC57DC"/>
    <w:rsid w:val="00FC5F95"/>
    <w:rsid w:val="00FD0CAB"/>
    <w:rsid w:val="00FE0D51"/>
    <w:rsid w:val="00FE5DB7"/>
    <w:rsid w:val="00FE64D2"/>
    <w:rsid w:val="20FB0B7D"/>
    <w:rsid w:val="22D6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0"/>
    <w:pPr>
      <w:keepNext/>
      <w:widowControl w:val="0"/>
      <w:numPr>
        <w:ilvl w:val="0"/>
        <w:numId w:val="1"/>
      </w:numPr>
      <w:suppressAutoHyphens/>
      <w:spacing w:after="0" w:line="240" w:lineRule="auto"/>
      <w:jc w:val="center"/>
      <w:outlineLvl w:val="0"/>
    </w:pPr>
    <w:rPr>
      <w:rFonts w:ascii="Arial" w:hAnsi="Arial" w:eastAsia="Arial Unicode MS" w:cs="Arial"/>
      <w:b/>
      <w:kern w:val="1"/>
      <w:sz w:val="20"/>
      <w:szCs w:val="24"/>
      <w:lang w:eastAsia="zh-CN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uiPriority w:val="99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footnote text"/>
    <w:basedOn w:val="1"/>
    <w:link w:val="10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сноски Знак"/>
    <w:basedOn w:val="3"/>
    <w:link w:val="7"/>
    <w:uiPriority w:val="99"/>
    <w:rPr>
      <w:sz w:val="20"/>
      <w:szCs w:val="20"/>
    </w:rPr>
  </w:style>
  <w:style w:type="character" w:customStyle="1" w:styleId="11">
    <w:name w:val="Заголовок 1 Знак"/>
    <w:basedOn w:val="3"/>
    <w:link w:val="2"/>
    <w:qFormat/>
    <w:uiPriority w:val="0"/>
    <w:rPr>
      <w:rFonts w:ascii="Arial" w:hAnsi="Arial" w:eastAsia="Arial Unicode MS" w:cs="Arial"/>
      <w:b/>
      <w:kern w:val="1"/>
      <w:sz w:val="20"/>
      <w:szCs w:val="24"/>
      <w:lang w:eastAsia="zh-CN"/>
      <w14:ligatures w14:val="none"/>
    </w:rPr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FD11-9303-4061-ACB0-6761FF27C1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4881</Characters>
  <Lines>87</Lines>
  <Paragraphs>26</Paragraphs>
  <TotalTime>31</TotalTime>
  <ScaleCrop>false</ScaleCrop>
  <LinksUpToDate>false</LinksUpToDate>
  <CharactersWithSpaces>5635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2023-10-29T06:32:00Z</dcterms:created>
  <dc:creator>Алена Казакова</dc:creator>
  <cp:lastModifiedBy>Алена Казакова</cp:lastModifiedBy>
  <dcterms:modified xsi:type="dcterms:W3CDTF">2025-04-15T17:42:33Z</dcterms:modified>
  <cp:revision>470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0BC54458485E430BBD8C4315F6EA8B20_12</vt:lpwstr>
  </property>
</Properties>
</file>