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69A1B8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240" w:before="240" w:after="240" w:beforeAutospacing="0" w:afterAutospacing="0"/>
        <w:ind w:firstLine="0" w:left="0" w:right="0"/>
        <w:jc w:val="center"/>
        <w:rPr>
          <w:rFonts w:ascii="Times New Roman" w:hAnsi="Times New Roman"/>
          <w:b w:val="1"/>
          <w:i w:val="1"/>
          <w:sz w:val="24"/>
        </w:rPr>
      </w:pPr>
      <w:bookmarkStart w:id="0" w:name="_dx_frag_StartFragment"/>
      <w:bookmarkEnd w:id="0"/>
      <w:r>
        <w:rPr>
          <w:rFonts w:ascii="Times New Roman" w:hAnsi="Times New Roman"/>
          <w:b w:val="1"/>
          <w:sz w:val="24"/>
        </w:rPr>
        <w:t xml:space="preserve">Исследование </w:t>
      </w:r>
      <w:r>
        <w:rPr>
          <w:rFonts w:ascii="Times New Roman" w:hAnsi="Times New Roman"/>
          <w:b w:val="1"/>
          <w:sz w:val="24"/>
        </w:rPr>
        <w:t>ф</w:t>
      </w:r>
      <w:r>
        <w:rPr>
          <w:rFonts w:ascii="Times New Roman" w:hAnsi="Times New Roman"/>
          <w:b w:val="1"/>
          <w:sz w:val="24"/>
        </w:rPr>
        <w:t>осфатмобилизующ</w:t>
      </w:r>
      <w:r>
        <w:rPr>
          <w:rFonts w:ascii="Times New Roman" w:hAnsi="Times New Roman"/>
          <w:b w:val="1"/>
          <w:sz w:val="24"/>
        </w:rPr>
        <w:t>ей и ростостимулирующей</w:t>
      </w:r>
      <w:r>
        <w:rPr>
          <w:rFonts w:ascii="Times New Roman" w:hAnsi="Times New Roman"/>
          <w:b w:val="1"/>
          <w:sz w:val="24"/>
        </w:rPr>
        <w:t xml:space="preserve"> активност</w:t>
      </w:r>
      <w:r>
        <w:rPr>
          <w:rFonts w:ascii="Times New Roman" w:hAnsi="Times New Roman"/>
          <w:b w:val="1"/>
          <w:sz w:val="24"/>
        </w:rPr>
        <w:t>ей</w:t>
      </w:r>
      <w:r>
        <w:rPr>
          <w:rFonts w:ascii="Times New Roman" w:hAnsi="Times New Roman"/>
          <w:b w:val="1"/>
          <w:sz w:val="24"/>
        </w:rPr>
        <w:t xml:space="preserve"> галобактерий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b w:val="1"/>
          <w:i w:val="1"/>
          <w:sz w:val="24"/>
        </w:rPr>
        <w:t>Алиёрова С.Э</w:t>
      </w:r>
    </w:p>
    <w:p>
      <w:pPr>
        <w:keepNext w:val="0"/>
        <w:widowControl w:val="1"/>
        <w:shd w:val="clear" w:fill="auto"/>
        <w:spacing w:lineRule="auto" w:line="240" w:before="240" w:after="240" w:beforeAutospacing="0" w:afterAutospacing="0"/>
        <w:ind w:firstLine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Научный руководитель - Яценко Елена Сергеевна, к.б.н.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i w:val="1"/>
          <w:sz w:val="24"/>
        </w:rPr>
        <w:t>Студент, бакалавр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i w:val="1"/>
          <w:sz w:val="24"/>
        </w:rPr>
        <w:t xml:space="preserve">ФГБОУ </w:t>
      </w:r>
      <w:r>
        <w:rPr>
          <w:rFonts w:ascii="Times New Roman" w:hAnsi="Times New Roman"/>
          <w:i w:val="1"/>
          <w:sz w:val="24"/>
        </w:rPr>
        <w:t>Алтайский Государственный Университет</w:t>
      </w:r>
      <w:r>
        <w:rPr>
          <w:rFonts w:ascii="Times New Roman" w:hAnsi="Times New Roman"/>
          <w:i w:val="1"/>
          <w:sz w:val="24"/>
        </w:rPr>
        <w:t xml:space="preserve">, </w:t>
      </w:r>
      <w:r>
        <w:rPr>
          <w:rFonts w:ascii="Times New Roman" w:hAnsi="Times New Roman"/>
          <w:i w:val="1"/>
          <w:sz w:val="24"/>
        </w:rPr>
        <w:t>Институт химии и химико-фармацевтических тезнологий</w:t>
      </w:r>
      <w:r>
        <w:rPr>
          <w:rFonts w:ascii="Times New Roman" w:hAnsi="Times New Roman"/>
          <w:i w:val="1"/>
          <w:sz w:val="24"/>
        </w:rPr>
        <w:t xml:space="preserve">, </w:t>
      </w:r>
      <w:r>
        <w:rPr>
          <w:rFonts w:ascii="Times New Roman" w:hAnsi="Times New Roman"/>
          <w:i w:val="1"/>
          <w:sz w:val="24"/>
        </w:rPr>
        <w:t>Барнаул</w:t>
      </w:r>
      <w:r>
        <w:rPr>
          <w:rFonts w:ascii="Times New Roman" w:hAnsi="Times New Roman"/>
          <w:i w:val="1"/>
          <w:sz w:val="24"/>
        </w:rPr>
        <w:t>, Россия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i w:val="1"/>
          <w:sz w:val="24"/>
        </w:rPr>
        <w:t xml:space="preserve">E-mail: </w:t>
      </w:r>
      <w:r>
        <w:rPr>
          <w:rFonts w:ascii="Times New Roman" w:hAnsi="Times New Roman"/>
          <w:i w:val="1"/>
          <w:sz w:val="24"/>
        </w:rPr>
        <w:t>sabrinaaliyorova@mail</w:t>
      </w:r>
      <w:r>
        <w:rPr>
          <w:rFonts w:ascii="Times New Roman" w:hAnsi="Times New Roman"/>
          <w:i w:val="1"/>
          <w:sz w:val="24"/>
        </w:rPr>
        <w:t>.ru</w:t>
      </w:r>
    </w:p>
    <w:p>
      <w:pPr>
        <w:keepNext w:val="0"/>
        <w:widowControl w:val="1"/>
        <w:shd w:val="clear" w:fill="auto"/>
        <w:spacing w:lineRule="auto" w:line="240" w:before="240" w:after="240" w:beforeAutospacing="0" w:afterAutospacing="0"/>
        <w:ind w:firstLine="396" w:left="0" w:right="0"/>
        <w:jc w:val="both"/>
        <w:rPr>
          <w:rFonts w:ascii="Times New Roman" w:hAnsi="Times New Roman"/>
          <w:sz w:val="24"/>
        </w:rPr>
      </w:pPr>
      <w:bookmarkStart w:id="1" w:name="_dx_frag_StartFragment"/>
      <w:bookmarkEnd w:id="1"/>
      <w:r>
        <w:rPr>
          <w:rFonts w:ascii="Times New Roman" w:hAnsi="Times New Roman"/>
          <w:sz w:val="24"/>
        </w:rPr>
        <w:t>В условиях растущей антропогенной нагрузки и необходимости интенсификации сельского хозяйства, поиск альтернатив традиционным минеральным удобрениям приобретает особую актуальность. Одним из перспективных направлений в биотехнологии является использование фосфатмобилизующих микроорганизмов</w:t>
      </w:r>
      <w:r>
        <w:rPr>
          <w:rFonts w:ascii="Times New Roman" w:hAnsi="Times New Roman"/>
          <w:sz w:val="24"/>
        </w:rPr>
        <w:t>, способных преобразовывать нерастворимые формы фосфатов в доступные для растений [1]. Это позволяет значительно сократить потребление фосфорных удобрений и снизить нагрузку на окружающую среду [1], [5].</w:t>
      </w:r>
    </w:p>
    <w:p>
      <w:pPr>
        <w:keepNext w:val="0"/>
        <w:widowControl w:val="1"/>
        <w:shd w:val="clear" w:fill="auto"/>
        <w:spacing w:before="240" w:after="240" w:beforeAutospacing="0" w:afterAutospacing="0"/>
        <w:ind w:firstLine="396" w:left="0" w:right="0"/>
        <w:jc w:val="both"/>
        <w:rPr>
          <w:rFonts w:ascii="Times New Roman" w:hAnsi="Times New Roman"/>
          <w:sz w:val="24"/>
        </w:rPr>
      </w:pPr>
      <w:bookmarkStart w:id="2" w:name="_dx_frag_StartFragment"/>
      <w:bookmarkEnd w:id="2"/>
      <w:r>
        <w:rPr>
          <w:rFonts w:ascii="Times New Roman" w:hAnsi="Times New Roman"/>
          <w:sz w:val="24"/>
        </w:rPr>
        <w:t>Целью данной работы стал</w:t>
      </w:r>
      <w:r>
        <w:rPr>
          <w:rFonts w:ascii="Times New Roman" w:hAnsi="Times New Roman"/>
          <w:sz w:val="24"/>
        </w:rPr>
        <w:t>а оценка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фосфатмобилизующей и ростостимулирующей активности галобактерий, </w:t>
      </w:r>
      <w:r>
        <w:rPr>
          <w:rFonts w:ascii="Times New Roman" w:hAnsi="Times New Roman"/>
          <w:sz w:val="24"/>
        </w:rPr>
        <w:t>проживающих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 вид</w:t>
      </w:r>
      <w:r>
        <w:rPr>
          <w:rFonts w:ascii="Times New Roman" w:hAnsi="Times New Roman"/>
          <w:sz w:val="24"/>
        </w:rPr>
        <w:t>ах</w:t>
      </w:r>
      <w:r>
        <w:rPr>
          <w:rFonts w:ascii="Times New Roman" w:hAnsi="Times New Roman"/>
          <w:sz w:val="24"/>
        </w:rPr>
        <w:t xml:space="preserve"> морских водорослей, с последующей оценкой их воздействия на рост растений.</w:t>
      </w:r>
    </w:p>
    <w:p>
      <w:pPr>
        <w:keepNext w:val="0"/>
        <w:widowControl w:val="1"/>
        <w:shd w:val="clear" w:fill="auto"/>
        <w:spacing w:before="240" w:after="240" w:beforeAutospacing="0" w:afterAutospacing="0"/>
        <w:ind w:firstLine="396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Водоросли были собраны с плит в районе </w:t>
      </w:r>
      <w:r>
        <w:rPr>
          <w:rFonts w:ascii="Times New Roman" w:hAnsi="Times New Roman"/>
          <w:sz w:val="24"/>
        </w:rPr>
        <w:t>пос</w:t>
      </w:r>
      <w:r>
        <w:rPr>
          <w:rFonts w:ascii="Times New Roman" w:hAnsi="Times New Roman"/>
          <w:sz w:val="24"/>
        </w:rPr>
        <w:t xml:space="preserve">ёлка </w:t>
      </w:r>
      <w:r>
        <w:rPr>
          <w:rFonts w:ascii="Times New Roman" w:hAnsi="Times New Roman"/>
          <w:sz w:val="24"/>
        </w:rPr>
        <w:t>Конаклы города Аланьи</w:t>
      </w:r>
      <w:r>
        <w:rPr>
          <w:rFonts w:ascii="Times New Roman" w:hAnsi="Times New Roman"/>
          <w:sz w:val="24"/>
        </w:rPr>
        <w:t xml:space="preserve"> на берегу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редиземного моря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первом этапе осуществлялось </w:t>
      </w:r>
      <w:r>
        <w:rPr>
          <w:rFonts w:ascii="Times New Roman" w:hAnsi="Times New Roman"/>
          <w:sz w:val="24"/>
        </w:rPr>
        <w:t>выделения</w:t>
      </w:r>
      <w:r>
        <w:rPr>
          <w:rFonts w:ascii="Times New Roman" w:hAnsi="Times New Roman"/>
          <w:sz w:val="24"/>
        </w:rPr>
        <w:t xml:space="preserve"> биомассы </w:t>
      </w:r>
      <w:r>
        <w:rPr>
          <w:rFonts w:ascii="Times New Roman" w:hAnsi="Times New Roman"/>
          <w:sz w:val="24"/>
        </w:rPr>
        <w:t>галобактерий из образцов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Для этого </w:t>
      </w:r>
      <w:r>
        <w:rPr>
          <w:rFonts w:ascii="Times New Roman" w:hAnsi="Times New Roman"/>
          <w:sz w:val="24"/>
        </w:rPr>
        <w:t xml:space="preserve">в колбах по </w:t>
      </w:r>
      <w:r>
        <w:rPr>
          <w:rFonts w:ascii="Times New Roman" w:hAnsi="Times New Roman"/>
          <w:sz w:val="24"/>
        </w:rPr>
        <w:t xml:space="preserve">250 мл приготовили </w:t>
      </w:r>
      <w:r>
        <w:rPr>
          <w:rFonts w:ascii="Times New Roman" w:hAnsi="Times New Roman"/>
          <w:sz w:val="24"/>
        </w:rPr>
        <w:t>питательн</w:t>
      </w:r>
      <w:r>
        <w:rPr>
          <w:rFonts w:ascii="Times New Roman" w:hAnsi="Times New Roman"/>
          <w:sz w:val="24"/>
        </w:rPr>
        <w:t xml:space="preserve">ый среды с содержанием NaCl около 13%. </w:t>
      </w:r>
      <w:r>
        <w:rPr>
          <w:rFonts w:ascii="Times New Roman" w:hAnsi="Times New Roman"/>
          <w:sz w:val="24"/>
        </w:rPr>
        <w:t>Затем культивировали колбы с микроорганизмами в термостате при пер</w:t>
      </w:r>
      <w:r>
        <w:rPr>
          <w:rFonts w:ascii="Times New Roman" w:hAnsi="Times New Roman"/>
          <w:sz w:val="24"/>
        </w:rPr>
        <w:t>иоди</w:t>
      </w:r>
      <w:r>
        <w:rPr>
          <w:rFonts w:ascii="Times New Roman" w:hAnsi="Times New Roman"/>
          <w:sz w:val="24"/>
        </w:rPr>
        <w:t>ческой аэрации.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 </w:t>
      </w:r>
      <w:r>
        <w:rPr>
          <w:rFonts w:ascii="Times New Roman" w:hAnsi="Times New Roman"/>
          <w:sz w:val="24"/>
        </w:rPr>
        <w:t>8 образцов рост микроорганизмов показал только од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н.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 выделенной биомассы провели окраск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по Гра</w:t>
      </w:r>
      <w:r>
        <w:rPr>
          <w:rFonts w:ascii="Times New Roman" w:hAnsi="Times New Roman"/>
          <w:sz w:val="24"/>
        </w:rPr>
        <w:t>му</w:t>
      </w:r>
      <w:r>
        <w:rPr>
          <w:rFonts w:ascii="Times New Roman" w:hAnsi="Times New Roman"/>
          <w:sz w:val="24"/>
        </w:rPr>
        <w:t xml:space="preserve"> в результате которой </w:t>
      </w:r>
      <w:r>
        <w:rPr>
          <w:rFonts w:ascii="Times New Roman" w:hAnsi="Times New Roman"/>
          <w:sz w:val="24"/>
        </w:rPr>
        <w:t>микрооргани</w:t>
      </w:r>
      <w:r>
        <w:rPr>
          <w:rFonts w:ascii="Times New Roman" w:hAnsi="Times New Roman"/>
          <w:sz w:val="24"/>
        </w:rPr>
        <w:t>змы окрасились в розовый цвет следовательно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они грамотрицательны. Также провели тесты на каталазную и оксидазную активности</w:t>
      </w:r>
      <w:r>
        <w:rPr>
          <w:rFonts w:ascii="Times New Roman" w:hAnsi="Times New Roman"/>
          <w:sz w:val="24"/>
        </w:rPr>
        <w:t xml:space="preserve"> и получили </w:t>
      </w:r>
      <w:r>
        <w:rPr>
          <w:rFonts w:ascii="Times New Roman" w:hAnsi="Times New Roman"/>
          <w:sz w:val="24"/>
        </w:rPr>
        <w:t>отрицательные результаты.</w:t>
      </w:r>
    </w:p>
    <w:p>
      <w:pPr>
        <w:keepNext w:val="0"/>
        <w:widowControl w:val="1"/>
        <w:shd w:val="clear" w:fill="auto"/>
        <w:spacing w:before="240" w:after="240" w:beforeAutospacing="0" w:afterAutospacing="0"/>
        <w:ind w:firstLine="396" w:left="0" w:right="0"/>
        <w:jc w:val="both"/>
        <w:rPr>
          <w:rFonts w:ascii="Times New Roman" w:hAnsi="Times New Roman"/>
          <w:sz w:val="24"/>
          <w:vertAlign w:val="baseline"/>
        </w:rPr>
      </w:pPr>
      <w:r>
        <w:rPr>
          <w:rFonts w:ascii="Times New Roman" w:hAnsi="Times New Roman"/>
          <w:sz w:val="24"/>
        </w:rPr>
        <w:t xml:space="preserve"> Далее были изучены их способности к мобилизации нерастворимых фосфатов, что позволило определить наиболее активные штаммы для дальнейших испытаний.</w:t>
      </w:r>
      <w:r>
        <w:rPr>
          <w:rFonts w:ascii="Times New Roman" w:hAnsi="Times New Roman"/>
          <w:sz w:val="24"/>
        </w:rPr>
        <w:t xml:space="preserve"> Приготовили </w:t>
      </w:r>
      <w:r>
        <w:rPr>
          <w:rFonts w:ascii="Times New Roman" w:hAnsi="Times New Roman"/>
          <w:sz w:val="24"/>
        </w:rPr>
        <w:t>и про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токлавировали </w:t>
      </w:r>
      <w:r>
        <w:rPr>
          <w:rFonts w:ascii="Times New Roman" w:hAnsi="Times New Roman"/>
          <w:sz w:val="24"/>
        </w:rPr>
        <w:t>среду Муромцева (глюкоза 10 г/</w:t>
      </w:r>
      <w:r>
        <w:rPr>
          <w:rFonts w:ascii="Times New Roman" w:hAnsi="Times New Roman"/>
          <w:sz w:val="24"/>
        </w:rPr>
        <w:t>л, аспарагин 1г/л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  <w:vertAlign w:val="baseline"/>
        </w:rPr>
        <w:t>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  <w:vertAlign w:val="baseline"/>
        </w:rPr>
        <w:t xml:space="preserve"> </w:t>
      </w:r>
      <w:r>
        <w:rPr>
          <w:rFonts w:ascii="Times New Roman" w:hAnsi="Times New Roman"/>
          <w:sz w:val="24"/>
          <w:vertAlign w:val="baseline"/>
        </w:rPr>
        <w:t>0</w:t>
      </w:r>
      <w:r>
        <w:rPr>
          <w:rFonts w:ascii="Times New Roman" w:hAnsi="Times New Roman"/>
          <w:sz w:val="24"/>
          <w:vertAlign w:val="baseline"/>
        </w:rPr>
        <w:t>,2 г/л</w:t>
      </w:r>
      <w:r>
        <w:rPr>
          <w:rFonts w:ascii="Times New Roman" w:hAnsi="Times New Roman"/>
          <w:sz w:val="24"/>
          <w:vertAlign w:val="baseline"/>
        </w:rPr>
        <w:t xml:space="preserve">, </w:t>
      </w:r>
      <w:r>
        <w:rPr>
          <w:rFonts w:ascii="Times New Roman" w:hAnsi="Times New Roman"/>
          <w:sz w:val="24"/>
          <w:vertAlign w:val="baseline"/>
        </w:rPr>
        <w:t>MgSO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  <w:vertAlign w:val="baseline"/>
        </w:rPr>
        <w:t xml:space="preserve"> 0</w:t>
      </w:r>
      <w:r>
        <w:rPr>
          <w:rFonts w:ascii="Times New Roman" w:hAnsi="Times New Roman"/>
          <w:sz w:val="24"/>
          <w:vertAlign w:val="baseline"/>
        </w:rPr>
        <w:t>,2 г/л, кукурузный экстракт 0,02 г/л, агар 20 г/л; pH 6,8)</w:t>
      </w:r>
      <w:r>
        <w:rPr>
          <w:rFonts w:ascii="Times New Roman" w:hAnsi="Times New Roman"/>
          <w:sz w:val="24"/>
          <w:vertAlign w:val="baseline"/>
        </w:rPr>
        <w:t>. Затем на среду высевали</w:t>
      </w:r>
      <w:r>
        <w:rPr>
          <w:rFonts w:ascii="Times New Roman" w:hAnsi="Times New Roman"/>
          <w:sz w:val="24"/>
          <w:vertAlign w:val="baseline"/>
        </w:rPr>
        <w:t xml:space="preserve"> культур</w:t>
      </w:r>
      <w:r>
        <w:rPr>
          <w:rFonts w:ascii="Times New Roman" w:hAnsi="Times New Roman"/>
          <w:sz w:val="24"/>
          <w:vertAlign w:val="baseline"/>
        </w:rPr>
        <w:t xml:space="preserve">ы </w:t>
      </w:r>
      <w:r>
        <w:rPr>
          <w:rFonts w:ascii="Times New Roman" w:hAnsi="Times New Roman"/>
          <w:sz w:val="24"/>
          <w:vertAlign w:val="baseline"/>
        </w:rPr>
        <w:t>ш</w:t>
      </w:r>
      <w:r>
        <w:rPr>
          <w:rFonts w:ascii="Times New Roman" w:hAnsi="Times New Roman"/>
          <w:sz w:val="24"/>
          <w:vertAlign w:val="baseline"/>
        </w:rPr>
        <w:t>трихом</w:t>
      </w:r>
      <w:r>
        <w:rPr>
          <w:rFonts w:ascii="Times New Roman" w:hAnsi="Times New Roman"/>
          <w:sz w:val="24"/>
          <w:vertAlign w:val="baseline"/>
        </w:rPr>
        <w:t>.</w:t>
      </w:r>
      <w:r>
        <w:rPr>
          <w:rFonts w:ascii="Times New Roman" w:hAnsi="Times New Roman"/>
          <w:sz w:val="24"/>
          <w:vertAlign w:val="baseline"/>
        </w:rPr>
        <w:t>Фосфатмобилизующую активность оценивали по диаметру прозрачных зон.</w:t>
      </w:r>
      <w:r>
        <w:rPr>
          <w:rFonts w:ascii="Times New Roman" w:hAnsi="Times New Roman"/>
          <w:sz w:val="24"/>
          <w:vertAlign w:val="baseline"/>
        </w:rPr>
        <w:t xml:space="preserve"> </w:t>
      </w:r>
      <w:r>
        <w:rPr>
          <w:rFonts w:ascii="Times New Roman" w:hAnsi="Times New Roman"/>
          <w:sz w:val="24"/>
          <w:vertAlign w:val="baseline"/>
        </w:rPr>
        <w:t xml:space="preserve">    </w:t>
      </w:r>
      <w:r>
        <w:rPr>
          <w:rFonts w:ascii="Times New Roman" w:hAnsi="Times New Roman"/>
          <w:sz w:val="24"/>
          <w:vertAlign w:val="subscript"/>
        </w:rPr>
        <w:t xml:space="preserve">      </w:t>
      </w:r>
    </w:p>
    <w:p>
      <w:pPr>
        <w:keepNext w:val="0"/>
        <w:widowControl w:val="1"/>
        <w:shd w:val="clear" w:fill="auto"/>
        <w:spacing w:before="240" w:after="240" w:beforeAutospacing="0" w:afterAutospacing="0"/>
        <w:ind w:firstLine="396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следующем этапе была оценена ростостимулирующая активность препаратов на основе отобранных галобактерий. </w:t>
      </w:r>
      <w:r>
        <w:rPr>
          <w:rFonts w:ascii="Times New Roman" w:hAnsi="Times New Roman"/>
          <w:sz w:val="24"/>
        </w:rPr>
        <w:t xml:space="preserve">Для </w:t>
      </w:r>
      <w:r>
        <w:rPr>
          <w:rFonts w:ascii="Times New Roman" w:hAnsi="Times New Roman"/>
          <w:sz w:val="24"/>
        </w:rPr>
        <w:t xml:space="preserve">препарата использовали высушенную </w:t>
      </w:r>
      <w:r>
        <w:rPr>
          <w:rFonts w:ascii="Times New Roman" w:hAnsi="Times New Roman"/>
          <w:sz w:val="24"/>
        </w:rPr>
        <w:t>биомассу галобактерий отфильтрованную от культуральной жидкости на</w:t>
      </w:r>
      <w:r>
        <w:rPr>
          <w:rFonts w:ascii="Times New Roman" w:hAnsi="Times New Roman"/>
          <w:sz w:val="24"/>
        </w:rPr>
        <w:t xml:space="preserve"> фильтре</w:t>
      </w:r>
      <w:r>
        <w:rPr>
          <w:rFonts w:ascii="Times New Roman" w:hAnsi="Times New Roman"/>
          <w:sz w:val="24"/>
        </w:rPr>
        <w:t xml:space="preserve"> синяя лента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трех пропорциях: 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г/л</w:t>
      </w:r>
      <w:r>
        <w:rPr>
          <w:rFonts w:ascii="Times New Roman" w:hAnsi="Times New Roman"/>
          <w:sz w:val="24"/>
        </w:rPr>
        <w:t>, 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</w:t>
      </w:r>
      <w:r>
        <w:rPr>
          <w:rFonts w:ascii="Times New Roman" w:hAnsi="Times New Roman"/>
          <w:sz w:val="24"/>
        </w:rPr>
        <w:t>/л, 10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г/л</w:t>
      </w:r>
      <w:r>
        <w:rPr>
          <w:rFonts w:ascii="Times New Roman" w:hAnsi="Times New Roman"/>
          <w:sz w:val="24"/>
        </w:rPr>
        <w:t xml:space="preserve"> и доводили до литра дистиллированной </w:t>
      </w:r>
      <w:r>
        <w:rPr>
          <w:rFonts w:ascii="Times New Roman" w:hAnsi="Times New Roman"/>
          <w:sz w:val="24"/>
        </w:rPr>
        <w:t>водой.</w:t>
      </w:r>
      <w:r>
        <w:rPr>
          <w:rFonts w:ascii="Times New Roman" w:hAnsi="Times New Roman"/>
          <w:sz w:val="24"/>
        </w:rPr>
        <w:t xml:space="preserve"> Препар</w:t>
      </w:r>
      <w:r>
        <w:rPr>
          <w:rFonts w:ascii="Times New Roman" w:hAnsi="Times New Roman"/>
          <w:sz w:val="24"/>
        </w:rPr>
        <w:t xml:space="preserve">ат представляет из себя белую </w:t>
      </w:r>
      <w:r>
        <w:rPr>
          <w:rFonts w:ascii="Times New Roman" w:hAnsi="Times New Roman"/>
          <w:sz w:val="24"/>
        </w:rPr>
        <w:t xml:space="preserve">суспензию без </w:t>
      </w:r>
      <w:r>
        <w:rPr>
          <w:rFonts w:ascii="Times New Roman" w:hAnsi="Times New Roman"/>
          <w:sz w:val="24"/>
        </w:rPr>
        <w:t>запаха</w:t>
      </w:r>
      <w:r>
        <w:rPr>
          <w:rFonts w:ascii="Times New Roman" w:hAnsi="Times New Roman"/>
          <w:sz w:val="24"/>
        </w:rPr>
        <w:t>, титр 10</w:t>
      </w:r>
      <w:r>
        <w:rPr>
          <w:rFonts w:ascii="Times New Roman" w:hAnsi="Times New Roman"/>
          <w:sz w:val="24"/>
          <w:vertAlign w:val="superscript"/>
        </w:rPr>
        <w:t>-5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 качестве модельных растений были использованы ру</w:t>
      </w:r>
      <w:r>
        <w:rPr>
          <w:rFonts w:ascii="Times New Roman" w:hAnsi="Times New Roman"/>
          <w:sz w:val="24"/>
        </w:rPr>
        <w:t>кола</w:t>
      </w:r>
      <w:r>
        <w:rPr>
          <w:rFonts w:ascii="Times New Roman" w:hAnsi="Times New Roman"/>
          <w:sz w:val="24"/>
        </w:rPr>
        <w:t xml:space="preserve"> и горох</w:t>
      </w:r>
      <w:r>
        <w:rPr>
          <w:rFonts w:ascii="Times New Roman" w:hAnsi="Times New Roman"/>
          <w:sz w:val="24"/>
        </w:rPr>
        <w:t>. Обработка проводилась на стадии семян, которые поливали раствором с препаратом</w:t>
      </w:r>
      <w:r>
        <w:rPr>
          <w:rFonts w:ascii="Times New Roman" w:hAnsi="Times New Roman"/>
          <w:sz w:val="24"/>
        </w:rPr>
        <w:t>.</w:t>
      </w:r>
    </w:p>
    <w:p>
      <w:pPr>
        <w:keepNext w:val="0"/>
        <w:widowControl w:val="1"/>
        <w:shd w:val="clear" w:fill="auto"/>
        <w:spacing w:lineRule="auto" w:line="240" w:before="240" w:after="240" w:beforeAutospacing="0" w:afterAutospacing="0"/>
        <w:ind w:firstLine="396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Результаты экспериментов позволили выявить положительное влияние препаратов на прорастание и начальный рост растений, что подтверждает перспективность использования галобактерий в качестве биостимуляторов. </w:t>
      </w:r>
    </w:p>
    <w:p>
      <w:pPr>
        <w:keepNext w:val="0"/>
        <w:widowControl w:val="1"/>
        <w:shd w:val="clear" w:fill="auto"/>
        <w:spacing w:lineRule="auto" w:line="240" w:before="240" w:after="240" w:beforeAutospacing="0" w:afterAutospacing="0"/>
        <w:ind w:firstLine="396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Литература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240" w:before="240" w:after="240" w:beforeAutospacing="0" w:afterAutospacing="0"/>
        <w:ind w:firstLine="396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Чайковская Л.А., Овсиенко О.Л. Фосфатмобилизующие микроорганизмы: биоразнообразие, влияние на минеральное питание растений и их продуктивность // Таврический вестник аграрной науки. 2021. № 4(28). С. 159–182.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240" w:before="240" w:after="240" w:beforeAutospacing="0" w:afterAutospacing="0"/>
        <w:ind w:firstLine="396" w:left="720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Яковлева А. К., Канарская З. А., Канарский А. В. Перспективы использования галофильных и галотолерантных микроорганизмов в биотехнологии // Вестник технологического университета. – 2017. – Т. 20, № 8. – С. 147.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275" w:before="240" w:after="240" w:beforeAutospacing="0" w:afterAutospacing="0"/>
        <w:ind w:firstLine="39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Dutta B., Bandopadhyay R. Biotechnological potentials of halophilic microorganisms and their impact on mankind // Beni-Suef University Journal of Basic and Applied Sciences. – 2022. – Vol. 11. – Article no. 75.)</w:t>
      </w:r>
    </w:p>
    <w:p>
      <w:pPr>
        <w:keepNext w:val="0"/>
        <w:widowControl w:val="1"/>
        <w:numPr>
          <w:ilvl w:val="0"/>
          <w:numId w:val="2"/>
        </w:numPr>
        <w:shd w:val="clear" w:fill="auto"/>
        <w:spacing w:lineRule="auto" w:line="240" w:before="240" w:after="240" w:beforeAutospacing="0" w:afterAutospacing="0"/>
        <w:ind w:firstLine="396" w:left="72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Khan M.S., Zaidi A., Wani P.A., Oves M. Role of plant growth-promoting rhizobacteria in the remediation of metal-contaminated soils. In: T. Ashraf, ed. </w:t>
      </w:r>
      <w:r>
        <w:rPr>
          <w:rFonts w:ascii="Times New Roman" w:hAnsi="Times New Roman"/>
          <w:i w:val="1"/>
          <w:sz w:val="24"/>
        </w:rPr>
        <w:t>Microbial Strategies for Crop Improvement</w:t>
      </w:r>
      <w:r>
        <w:rPr>
          <w:rFonts w:ascii="Times New Roman" w:hAnsi="Times New Roman"/>
          <w:sz w:val="24"/>
        </w:rPr>
        <w:t>. Springer, 2009.</w:t>
      </w:r>
    </w:p>
    <w:p>
      <w:pPr>
        <w:keepNext w:val="0"/>
        <w:widowControl w:val="1"/>
        <w:shd w:val="clear" w:fill="auto"/>
        <w:spacing w:lineRule="auto" w:line="240" w:beforeAutospacing="0" w:afterAutospacing="0"/>
        <w:ind w:firstLine="396"/>
        <w:jc w:val="both"/>
        <w:rPr>
          <w:rFonts w:ascii="Times New Roman" w:hAnsi="Times New Roman"/>
          <w:sz w:val="24"/>
        </w:rPr>
      </w:pPr>
    </w:p>
    <w:sectPr>
      <w:type w:val="nextPage"/>
      <w:pgMar w:left="1360" w:right="136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9C00C0F"/>
    <w:multiLevelType w:val="hybridMultilevel"/>
    <w:lvl w:ilvl="0" w:tplc="77457437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D7760C7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2355B28B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7EECC11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B056FAE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8C3C287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7471EE1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4F1A615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65480D6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3419F072"/>
    <w:multiLevelType w:val="hybridMultilevel"/>
    <w:lvl w:ilvl="0" w:tplc="63743A86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1C55C4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C4023A7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4A7B6DB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E5DE59F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7A6683C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518F954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485D672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13BE5C2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346EFFA1"/>
    <w:multiLevelType w:val="hybridMultilevel"/>
    <w:lvl w:ilvl="0" w:tplc="520845E2">
      <w:start w:val="1"/>
      <w:numFmt w:val="decimal"/>
      <w:suff w:val="tab"/>
      <w:lvlText w:val="%1."/>
      <w:lvlJc w:val="left"/>
      <w:pPr>
        <w:spacing w:lineRule="auto" w:line="240" w:after="0"/>
        <w:ind w:hanging="360" w:left="720"/>
      </w:pPr>
      <w:rPr/>
    </w:lvl>
    <w:lvl w:ilvl="1" w:tplc="463F3A18">
      <w:start w:val="1"/>
      <w:numFmt w:val="decimal"/>
      <w:suff w:val="tab"/>
      <w:lvlText w:val="%2."/>
      <w:lvlJc w:val="left"/>
      <w:pPr>
        <w:spacing w:lineRule="auto" w:line="240" w:after="0"/>
        <w:ind w:hanging="360" w:left="1440"/>
      </w:pPr>
      <w:rPr/>
    </w:lvl>
    <w:lvl w:ilvl="2" w:tplc="7625B851">
      <w:start w:val="1"/>
      <w:numFmt w:val="decimal"/>
      <w:suff w:val="tab"/>
      <w:lvlText w:val="%3."/>
      <w:lvlJc w:val="left"/>
      <w:pPr>
        <w:spacing w:lineRule="auto" w:line="240" w:after="0"/>
        <w:ind w:hanging="360" w:left="2160"/>
      </w:pPr>
      <w:rPr/>
    </w:lvl>
    <w:lvl w:ilvl="3" w:tplc="77B0D348">
      <w:start w:val="1"/>
      <w:numFmt w:val="decimal"/>
      <w:suff w:val="tab"/>
      <w:lvlText w:val="%4."/>
      <w:lvlJc w:val="left"/>
      <w:pPr>
        <w:spacing w:lineRule="auto" w:line="240" w:after="0"/>
        <w:ind w:hanging="360" w:left="2880"/>
      </w:pPr>
      <w:rPr/>
    </w:lvl>
    <w:lvl w:ilvl="4" w:tplc="65258452">
      <w:start w:val="1"/>
      <w:numFmt w:val="decimal"/>
      <w:suff w:val="tab"/>
      <w:lvlText w:val="%5."/>
      <w:lvlJc w:val="left"/>
      <w:pPr>
        <w:spacing w:lineRule="auto" w:line="240" w:after="0"/>
        <w:ind w:hanging="360" w:left="3600"/>
      </w:pPr>
      <w:rPr/>
    </w:lvl>
    <w:lvl w:ilvl="5" w:tplc="5EC6CAD5">
      <w:start w:val="1"/>
      <w:numFmt w:val="decimal"/>
      <w:suff w:val="tab"/>
      <w:lvlText w:val="%6."/>
      <w:lvlJc w:val="left"/>
      <w:pPr>
        <w:spacing w:lineRule="auto" w:line="240" w:after="0"/>
        <w:ind w:hanging="360" w:left="4320"/>
      </w:pPr>
      <w:rPr/>
    </w:lvl>
    <w:lvl w:ilvl="6" w:tplc="4EF64545">
      <w:start w:val="1"/>
      <w:numFmt w:val="decimal"/>
      <w:suff w:val="tab"/>
      <w:lvlText w:val="%7."/>
      <w:lvlJc w:val="left"/>
      <w:pPr>
        <w:spacing w:lineRule="auto" w:line="240" w:after="0"/>
        <w:ind w:hanging="360" w:left="5040"/>
      </w:pPr>
      <w:rPr/>
    </w:lvl>
    <w:lvl w:ilvl="7" w:tplc="51792AD3">
      <w:start w:val="1"/>
      <w:numFmt w:val="decimal"/>
      <w:suff w:val="tab"/>
      <w:lvlText w:val="%8."/>
      <w:lvlJc w:val="left"/>
      <w:pPr>
        <w:spacing w:lineRule="auto" w:line="240" w:after="0"/>
        <w:ind w:hanging="360" w:left="5760"/>
      </w:pPr>
      <w:rPr/>
    </w:lvl>
    <w:lvl w:ilvl="8" w:tplc="1CFB3119">
      <w:start w:val="1"/>
      <w:numFmt w:val="decimal"/>
      <w:suff w:val="tab"/>
      <w:lvlText w:val="%9."/>
      <w:lvlJc w:val="left"/>
      <w:pPr>
        <w:spacing w:lineRule="auto" w:line="240" w:after="0"/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