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2EE98" w14:textId="77777777" w:rsidR="00F37D23" w:rsidRPr="00304E5F" w:rsidRDefault="00F37D23" w:rsidP="00304E5F">
      <w:pPr>
        <w:spacing w:before="120" w:after="240" w:line="240" w:lineRule="auto"/>
        <w:jc w:val="center"/>
        <w:rPr>
          <w:rFonts w:ascii="Times New Roman" w:eastAsia="Calibri" w:hAnsi="Times New Roman" w:cs="Times New Roman"/>
          <w:b/>
          <w:sz w:val="24"/>
          <w:szCs w:val="24"/>
        </w:rPr>
      </w:pPr>
      <w:r w:rsidRPr="00304E5F">
        <w:rPr>
          <w:rFonts w:ascii="Times New Roman" w:eastAsia="Calibri" w:hAnsi="Times New Roman" w:cs="Times New Roman"/>
          <w:b/>
          <w:sz w:val="24"/>
          <w:szCs w:val="24"/>
        </w:rPr>
        <w:t>Исследование свойств гемоглобина пациен</w:t>
      </w:r>
      <w:r w:rsidR="00304E5F">
        <w:rPr>
          <w:rFonts w:ascii="Times New Roman" w:eastAsia="Calibri" w:hAnsi="Times New Roman" w:cs="Times New Roman"/>
          <w:b/>
          <w:sz w:val="24"/>
          <w:szCs w:val="24"/>
        </w:rPr>
        <w:t>тов с раком шейки матки методом</w:t>
      </w:r>
      <w:r w:rsidR="00304E5F">
        <w:rPr>
          <w:rFonts w:ascii="Times New Roman" w:eastAsia="Calibri" w:hAnsi="Times New Roman" w:cs="Times New Roman"/>
          <w:b/>
          <w:sz w:val="24"/>
          <w:szCs w:val="24"/>
        </w:rPr>
        <w:br/>
      </w:r>
      <w:r w:rsidRPr="00304E5F">
        <w:rPr>
          <w:rFonts w:ascii="Times New Roman" w:eastAsia="Calibri" w:hAnsi="Times New Roman" w:cs="Times New Roman"/>
          <w:b/>
          <w:sz w:val="24"/>
          <w:szCs w:val="24"/>
        </w:rPr>
        <w:t>КР-спектроскопии</w:t>
      </w:r>
    </w:p>
    <w:p w14:paraId="3A681184" w14:textId="77777777" w:rsidR="00F37D23" w:rsidRPr="004072AD" w:rsidRDefault="00304E5F" w:rsidP="00304E5F">
      <w:pPr>
        <w:spacing w:before="120" w:after="240" w:line="240" w:lineRule="auto"/>
        <w:jc w:val="center"/>
        <w:rPr>
          <w:rFonts w:ascii="Times New Roman" w:eastAsia="Calibri" w:hAnsi="Times New Roman" w:cs="Times New Roman"/>
          <w:b/>
          <w:i/>
          <w:sz w:val="24"/>
          <w:szCs w:val="24"/>
        </w:rPr>
      </w:pPr>
      <w:r w:rsidRPr="004072AD">
        <w:rPr>
          <w:rFonts w:ascii="Times New Roman" w:eastAsia="Calibri" w:hAnsi="Times New Roman" w:cs="Times New Roman"/>
          <w:b/>
          <w:i/>
          <w:sz w:val="24"/>
          <w:szCs w:val="24"/>
        </w:rPr>
        <w:t>Федорова А.</w:t>
      </w:r>
      <w:r w:rsidR="00F37D23" w:rsidRPr="004072AD">
        <w:rPr>
          <w:rFonts w:ascii="Times New Roman" w:eastAsia="Calibri" w:hAnsi="Times New Roman" w:cs="Times New Roman"/>
          <w:b/>
          <w:i/>
          <w:sz w:val="24"/>
          <w:szCs w:val="24"/>
        </w:rPr>
        <w:t>В., Павлов А.Н.</w:t>
      </w:r>
    </w:p>
    <w:p w14:paraId="4574B5B1" w14:textId="77777777" w:rsidR="00304E5F" w:rsidRPr="004072AD" w:rsidRDefault="00304E5F" w:rsidP="00304E5F">
      <w:pPr>
        <w:spacing w:before="120" w:after="240" w:line="240" w:lineRule="auto"/>
        <w:jc w:val="center"/>
        <w:rPr>
          <w:rFonts w:ascii="Times New Roman" w:eastAsia="Calibri" w:hAnsi="Times New Roman" w:cs="Times New Roman"/>
          <w:b/>
          <w:i/>
          <w:sz w:val="24"/>
          <w:szCs w:val="24"/>
        </w:rPr>
      </w:pPr>
      <w:r w:rsidRPr="004072AD">
        <w:rPr>
          <w:rFonts w:ascii="Times New Roman" w:hAnsi="Times New Roman" w:cs="Times New Roman"/>
          <w:i/>
          <w:sz w:val="24"/>
          <w:szCs w:val="24"/>
        </w:rPr>
        <w:t>Студент, научный сотрудник</w:t>
      </w:r>
    </w:p>
    <w:p w14:paraId="296B1EBE" w14:textId="7D563508" w:rsidR="00304E5F" w:rsidRPr="004072AD" w:rsidRDefault="00304E5F" w:rsidP="00304E5F">
      <w:pPr>
        <w:tabs>
          <w:tab w:val="left" w:pos="5670"/>
        </w:tabs>
        <w:spacing w:before="120" w:after="240" w:line="240" w:lineRule="auto"/>
        <w:jc w:val="center"/>
        <w:rPr>
          <w:rFonts w:ascii="Times New Roman" w:hAnsi="Times New Roman" w:cs="Times New Roman"/>
          <w:i/>
          <w:sz w:val="24"/>
          <w:szCs w:val="24"/>
        </w:rPr>
      </w:pPr>
      <w:r w:rsidRPr="004072AD">
        <w:rPr>
          <w:rFonts w:ascii="Times New Roman" w:hAnsi="Times New Roman" w:cs="Times New Roman"/>
          <w:i/>
          <w:sz w:val="24"/>
          <w:szCs w:val="24"/>
        </w:rPr>
        <w:t>ФГАОУ ВО «Северо-Восточный федеральный университет им. М.К. Аммосова»</w:t>
      </w:r>
      <w:r w:rsidR="004072AD">
        <w:rPr>
          <w:rFonts w:ascii="Times New Roman" w:hAnsi="Times New Roman" w:cs="Times New Roman"/>
          <w:i/>
          <w:sz w:val="24"/>
          <w:szCs w:val="24"/>
        </w:rPr>
        <w:t>,</w:t>
      </w:r>
    </w:p>
    <w:p w14:paraId="0D8737E4" w14:textId="77777777" w:rsidR="00304E5F" w:rsidRPr="004072AD" w:rsidRDefault="00304E5F" w:rsidP="00304E5F">
      <w:pPr>
        <w:tabs>
          <w:tab w:val="left" w:pos="5670"/>
        </w:tabs>
        <w:spacing w:before="120" w:after="240" w:line="240" w:lineRule="auto"/>
        <w:jc w:val="center"/>
        <w:rPr>
          <w:rFonts w:ascii="Times New Roman" w:hAnsi="Times New Roman" w:cs="Times New Roman"/>
          <w:i/>
          <w:sz w:val="24"/>
          <w:szCs w:val="24"/>
        </w:rPr>
      </w:pPr>
      <w:r w:rsidRPr="004072AD">
        <w:rPr>
          <w:rFonts w:ascii="Times New Roman" w:hAnsi="Times New Roman" w:cs="Times New Roman"/>
          <w:i/>
          <w:sz w:val="24"/>
          <w:szCs w:val="24"/>
        </w:rPr>
        <w:t>Физико-технический институт, Якутск, Россия</w:t>
      </w:r>
    </w:p>
    <w:p w14:paraId="1777E9A4" w14:textId="77777777" w:rsidR="00304E5F" w:rsidRPr="004072AD" w:rsidRDefault="00304E5F" w:rsidP="00304E5F">
      <w:pPr>
        <w:tabs>
          <w:tab w:val="left" w:pos="5670"/>
        </w:tabs>
        <w:spacing w:before="120" w:after="240" w:line="240" w:lineRule="auto"/>
        <w:jc w:val="center"/>
        <w:rPr>
          <w:rFonts w:ascii="Times New Roman" w:hAnsi="Times New Roman" w:cs="Times New Roman"/>
          <w:i/>
          <w:sz w:val="24"/>
          <w:szCs w:val="24"/>
        </w:rPr>
      </w:pPr>
      <w:r w:rsidRPr="004072AD">
        <w:rPr>
          <w:rStyle w:val="a4"/>
          <w:rFonts w:ascii="Times New Roman" w:hAnsi="Times New Roman" w:cs="Times New Roman"/>
          <w:iCs w:val="0"/>
          <w:color w:val="353535"/>
          <w:sz w:val="24"/>
          <w:szCs w:val="24"/>
          <w:shd w:val="clear" w:color="auto" w:fill="FFFFFF"/>
        </w:rPr>
        <w:t>E–mail:</w:t>
      </w:r>
      <w:r w:rsidRPr="004072AD">
        <w:rPr>
          <w:i/>
        </w:rPr>
        <w:t xml:space="preserve"> </w:t>
      </w:r>
      <w:r w:rsidRPr="004072AD">
        <w:rPr>
          <w:rFonts w:ascii="Times New Roman" w:hAnsi="Times New Roman" w:cs="Times New Roman"/>
          <w:i/>
          <w:sz w:val="24"/>
          <w:szCs w:val="24"/>
          <w:lang w:val="en-US"/>
        </w:rPr>
        <w:t>alpavlov</w:t>
      </w:r>
      <w:r w:rsidRPr="004072AD">
        <w:rPr>
          <w:rFonts w:ascii="Times New Roman" w:hAnsi="Times New Roman" w:cs="Times New Roman"/>
          <w:i/>
          <w:sz w:val="24"/>
          <w:szCs w:val="24"/>
        </w:rPr>
        <w:t>090@</w:t>
      </w:r>
      <w:r w:rsidRPr="004072AD">
        <w:rPr>
          <w:rFonts w:ascii="Times New Roman" w:hAnsi="Times New Roman" w:cs="Times New Roman"/>
          <w:i/>
          <w:sz w:val="24"/>
          <w:szCs w:val="24"/>
          <w:lang w:val="en-US"/>
        </w:rPr>
        <w:t>mail</w:t>
      </w:r>
      <w:r w:rsidRPr="004072AD">
        <w:rPr>
          <w:rFonts w:ascii="Times New Roman" w:hAnsi="Times New Roman" w:cs="Times New Roman"/>
          <w:i/>
          <w:sz w:val="24"/>
          <w:szCs w:val="24"/>
        </w:rPr>
        <w:t>.</w:t>
      </w:r>
      <w:r w:rsidRPr="004072AD">
        <w:rPr>
          <w:rFonts w:ascii="Times New Roman" w:hAnsi="Times New Roman" w:cs="Times New Roman"/>
          <w:i/>
          <w:sz w:val="24"/>
          <w:szCs w:val="24"/>
          <w:lang w:val="en-US"/>
        </w:rPr>
        <w:t>ru</w:t>
      </w:r>
    </w:p>
    <w:p w14:paraId="6E4AFAD0" w14:textId="77777777" w:rsidR="00F37D23" w:rsidRDefault="00F37D23" w:rsidP="00CC0C04">
      <w:pPr>
        <w:spacing w:after="0" w:line="240" w:lineRule="auto"/>
        <w:ind w:firstLine="397"/>
        <w:jc w:val="both"/>
        <w:rPr>
          <w:rFonts w:ascii="Times New Roman" w:eastAsia="Calibri" w:hAnsi="Times New Roman" w:cs="Times New Roman"/>
          <w:sz w:val="24"/>
          <w:szCs w:val="24"/>
        </w:rPr>
      </w:pPr>
      <w:r w:rsidRPr="00304E5F">
        <w:rPr>
          <w:rFonts w:ascii="Times New Roman" w:eastAsia="Calibri" w:hAnsi="Times New Roman" w:cs="Times New Roman"/>
          <w:sz w:val="24"/>
          <w:szCs w:val="24"/>
        </w:rPr>
        <w:t>Комбинационное рассеяние (КР) света представляет собой мощный оптический метод, позволяющий изучать молекулярные и структурные изменения в биологических объектах на молекулярном уровне</w:t>
      </w:r>
      <w:r w:rsidR="00AA74A0">
        <w:rPr>
          <w:rFonts w:ascii="Times New Roman" w:eastAsia="Calibri" w:hAnsi="Times New Roman" w:cs="Times New Roman"/>
          <w:sz w:val="24"/>
          <w:szCs w:val="24"/>
        </w:rPr>
        <w:t xml:space="preserve"> </w:t>
      </w:r>
      <w:r w:rsidR="00AA74A0" w:rsidRPr="00AA74A0">
        <w:rPr>
          <w:rFonts w:ascii="Times New Roman" w:eastAsia="Calibri" w:hAnsi="Times New Roman" w:cs="Times New Roman"/>
          <w:sz w:val="24"/>
          <w:szCs w:val="24"/>
        </w:rPr>
        <w:t>[1]</w:t>
      </w:r>
      <w:r w:rsidRPr="00304E5F">
        <w:rPr>
          <w:rFonts w:ascii="Times New Roman" w:eastAsia="Calibri" w:hAnsi="Times New Roman" w:cs="Times New Roman"/>
          <w:sz w:val="24"/>
          <w:szCs w:val="24"/>
        </w:rPr>
        <w:t>. В данной работе рассматривается применение КР-спектроскопии для анализа свойств гемоглобина у пациенток с раком шейки матки (РШМ) до, во время и после проведения лучевой терапии. Целью исследования стало выявление спектральных изменений, ассоциированных с онкологическим процессом, для возможного использования в диагностике и мониторинге заболевания.</w:t>
      </w:r>
    </w:p>
    <w:p w14:paraId="4D84ED48" w14:textId="77777777" w:rsidR="00B65455" w:rsidRPr="00554B2C" w:rsidRDefault="00B65455" w:rsidP="00CC0C04">
      <w:pPr>
        <w:spacing w:after="0" w:line="240" w:lineRule="auto"/>
        <w:ind w:firstLine="397"/>
        <w:jc w:val="both"/>
        <w:rPr>
          <w:rFonts w:ascii="Times New Roman" w:eastAsia="Calibri" w:hAnsi="Times New Roman" w:cs="Times New Roman"/>
          <w:sz w:val="24"/>
          <w:szCs w:val="24"/>
        </w:rPr>
      </w:pPr>
      <w:r w:rsidRPr="00B65455">
        <w:rPr>
          <w:rFonts w:ascii="Times New Roman" w:eastAsia="Calibri" w:hAnsi="Times New Roman" w:cs="Times New Roman"/>
          <w:sz w:val="24"/>
          <w:szCs w:val="24"/>
        </w:rPr>
        <w:t>На основе работы лежит феномен резонансного рамановского (неупругого, комбинационного) рассе</w:t>
      </w:r>
      <w:r w:rsidR="00554B2C">
        <w:rPr>
          <w:rFonts w:ascii="Times New Roman" w:eastAsia="Calibri" w:hAnsi="Times New Roman" w:cs="Times New Roman"/>
          <w:sz w:val="24"/>
          <w:szCs w:val="24"/>
        </w:rPr>
        <w:t>яния монохроматического света</w:t>
      </w:r>
      <w:r w:rsidRPr="00B65455">
        <w:rPr>
          <w:rFonts w:ascii="Times New Roman" w:eastAsia="Calibri" w:hAnsi="Times New Roman" w:cs="Times New Roman"/>
          <w:sz w:val="24"/>
          <w:szCs w:val="24"/>
        </w:rPr>
        <w:t>, который был открыт индийскими учеными Ч.В. Раманом и К.С. Кришнаном в 1928 г. Рамановская спектроскопия использует эффект Рамана при взаимодействии лазерного луч</w:t>
      </w:r>
      <w:r w:rsidR="00554B2C">
        <w:rPr>
          <w:rFonts w:ascii="Times New Roman" w:eastAsia="Calibri" w:hAnsi="Times New Roman" w:cs="Times New Roman"/>
          <w:sz w:val="24"/>
          <w:szCs w:val="24"/>
        </w:rPr>
        <w:t>а с молекулами вещества [2, 3, 6</w:t>
      </w:r>
      <w:r w:rsidRPr="00B65455">
        <w:rPr>
          <w:rFonts w:ascii="Times New Roman" w:eastAsia="Calibri" w:hAnsi="Times New Roman" w:cs="Times New Roman"/>
          <w:sz w:val="24"/>
          <w:szCs w:val="24"/>
        </w:rPr>
        <w:t>]. С помощью светофильтра из полученного пучка света выделяются рассеянные лучи, которые усиливаются и регистрируются в виде уникального набора спектральных линий, имеющих иную ча</w:t>
      </w:r>
      <w:r w:rsidR="00554B2C">
        <w:rPr>
          <w:rFonts w:ascii="Times New Roman" w:eastAsia="Calibri" w:hAnsi="Times New Roman" w:cs="Times New Roman"/>
          <w:sz w:val="24"/>
          <w:szCs w:val="24"/>
        </w:rPr>
        <w:t>стоту, чем падающий луч [4, 5, 7</w:t>
      </w:r>
      <w:r w:rsidRPr="00B65455">
        <w:rPr>
          <w:rFonts w:ascii="Times New Roman" w:eastAsia="Calibri" w:hAnsi="Times New Roman" w:cs="Times New Roman"/>
          <w:sz w:val="24"/>
          <w:szCs w:val="24"/>
        </w:rPr>
        <w:t>]. Спектры рассеяния очень чувствительны к природе химических связей как в органических молекулах, так и в неорганически</w:t>
      </w:r>
      <w:r w:rsidR="00554B2C">
        <w:rPr>
          <w:rFonts w:ascii="Times New Roman" w:eastAsia="Calibri" w:hAnsi="Times New Roman" w:cs="Times New Roman"/>
          <w:sz w:val="24"/>
          <w:szCs w:val="24"/>
        </w:rPr>
        <w:t>х кристаллических решетках [1</w:t>
      </w:r>
      <w:r w:rsidRPr="00B65455">
        <w:rPr>
          <w:rFonts w:ascii="Times New Roman" w:eastAsia="Calibri" w:hAnsi="Times New Roman" w:cs="Times New Roman"/>
          <w:sz w:val="24"/>
          <w:szCs w:val="24"/>
        </w:rPr>
        <w:t>].</w:t>
      </w:r>
      <w:r w:rsidR="00554B2C" w:rsidRPr="00554B2C">
        <w:rPr>
          <w:rFonts w:ascii="Times New Roman" w:eastAsia="Calibri" w:hAnsi="Times New Roman" w:cs="Times New Roman"/>
          <w:sz w:val="24"/>
          <w:szCs w:val="24"/>
        </w:rPr>
        <w:t xml:space="preserve"> Эта о</w:t>
      </w:r>
      <w:r w:rsidR="002D374D">
        <w:rPr>
          <w:rFonts w:ascii="Times New Roman" w:eastAsia="Calibri" w:hAnsi="Times New Roman" w:cs="Times New Roman"/>
          <w:sz w:val="24"/>
          <w:szCs w:val="24"/>
        </w:rPr>
        <w:t>собенность сделала технологию КР</w:t>
      </w:r>
      <w:r w:rsidR="00554B2C" w:rsidRPr="00554B2C">
        <w:rPr>
          <w:rFonts w:ascii="Times New Roman" w:eastAsia="Calibri" w:hAnsi="Times New Roman" w:cs="Times New Roman"/>
          <w:sz w:val="24"/>
          <w:szCs w:val="24"/>
        </w:rPr>
        <w:t xml:space="preserve"> очень привлекательной для исследования различных аналитов, включая биологические объекты.</w:t>
      </w:r>
    </w:p>
    <w:p w14:paraId="7F8FB666" w14:textId="77777777" w:rsidR="00F37D23" w:rsidRPr="00304E5F" w:rsidRDefault="00F37D23" w:rsidP="00CC0C04">
      <w:pPr>
        <w:spacing w:after="0" w:line="240" w:lineRule="auto"/>
        <w:ind w:firstLine="397"/>
        <w:jc w:val="both"/>
        <w:rPr>
          <w:rFonts w:ascii="Times New Roman" w:eastAsia="Calibri" w:hAnsi="Times New Roman" w:cs="Times New Roman"/>
          <w:sz w:val="24"/>
          <w:szCs w:val="24"/>
        </w:rPr>
      </w:pPr>
      <w:r w:rsidRPr="00304E5F">
        <w:rPr>
          <w:rFonts w:ascii="Times New Roman" w:eastAsia="Calibri" w:hAnsi="Times New Roman" w:cs="Times New Roman"/>
          <w:sz w:val="24"/>
          <w:szCs w:val="24"/>
        </w:rPr>
        <w:t xml:space="preserve">Для проведения анализа были отобраны образцы цельной крови от пациенток с подтверждённым диагнозом РШМ и от здоровых доноров (контрольная группа). Образцы цельной крови брались у женщин примерно одного и того же возраста, что и у пациенток. Исследования проводились на установке NTEGRA Spectra с конфокальной КР/флуоресцентной микроскопией и спектроскопией, длина волны источника излучения 532 нм. Полученные спектры обрабатывались при помощи программного обеспечения OriginPro 2018 (сглаживание, нормировка, вычитание базовой линии проводилось по 15 точкам). Для увеличения разрешающей способности и для отделения наложенных друг на друга пиков была применена деконволюции методом наименьших квадратов. Наложенные пики возникают, когда несколько сигналов с близкими частотами или энергиями накладываются друг на друга, создавая единый пик в спектре. Деконволюция позволяет разделить эти пики и восстановить исходные сигналы. </w:t>
      </w:r>
    </w:p>
    <w:p w14:paraId="47555FB0" w14:textId="77777777" w:rsidR="00F37D23" w:rsidRPr="00304E5F" w:rsidRDefault="00F37D23" w:rsidP="00CC0C04">
      <w:pPr>
        <w:spacing w:after="0" w:line="240" w:lineRule="auto"/>
        <w:ind w:firstLine="397"/>
        <w:jc w:val="both"/>
        <w:rPr>
          <w:rFonts w:ascii="Times New Roman" w:eastAsia="Calibri" w:hAnsi="Times New Roman" w:cs="Times New Roman"/>
          <w:sz w:val="24"/>
          <w:szCs w:val="24"/>
        </w:rPr>
      </w:pPr>
      <w:r w:rsidRPr="00304E5F">
        <w:rPr>
          <w:rFonts w:ascii="Times New Roman" w:eastAsia="Calibri" w:hAnsi="Times New Roman" w:cs="Times New Roman"/>
          <w:sz w:val="24"/>
          <w:szCs w:val="24"/>
        </w:rPr>
        <w:t xml:space="preserve">Для оценки изменений конформации гема и глобина молекулы Гб использовали величины соотношений интенсивностей характерных полос спектра КР: </w:t>
      </w:r>
    </w:p>
    <w:p w14:paraId="3144CDDD" w14:textId="77777777" w:rsidR="00F37D23" w:rsidRPr="00304E5F" w:rsidRDefault="00F37D23" w:rsidP="00CC0C04">
      <w:pPr>
        <w:spacing w:after="0" w:line="240" w:lineRule="auto"/>
        <w:ind w:firstLine="397"/>
        <w:jc w:val="both"/>
        <w:rPr>
          <w:rFonts w:ascii="Times New Roman" w:eastAsia="Calibri" w:hAnsi="Times New Roman" w:cs="Times New Roman"/>
          <w:sz w:val="24"/>
          <w:szCs w:val="24"/>
        </w:rPr>
      </w:pP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1375</w:t>
      </w: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1127</w:t>
      </w:r>
      <w:r w:rsidR="002D374D">
        <w:rPr>
          <w:rFonts w:ascii="Times New Roman" w:eastAsia="Calibri" w:hAnsi="Times New Roman" w:cs="Times New Roman"/>
          <w:sz w:val="24"/>
          <w:szCs w:val="24"/>
        </w:rPr>
        <w:t xml:space="preserve"> - И</w:t>
      </w:r>
      <w:r w:rsidRPr="00304E5F">
        <w:rPr>
          <w:rFonts w:ascii="Times New Roman" w:eastAsia="Calibri" w:hAnsi="Times New Roman" w:cs="Times New Roman"/>
          <w:sz w:val="24"/>
          <w:szCs w:val="24"/>
        </w:rPr>
        <w:t>зменение величины соотношения характеризует изменение конформации Гб из T (дезоксигемоглобин) в R (оксигемоглобин). Чем оно выше, тем выше вероятность нахождения гема в R-форме.</w:t>
      </w:r>
    </w:p>
    <w:p w14:paraId="379A527B" w14:textId="77777777" w:rsidR="00F37D23" w:rsidRPr="00304E5F" w:rsidRDefault="00F37D23" w:rsidP="00CC0C04">
      <w:pPr>
        <w:spacing w:after="0" w:line="240" w:lineRule="auto"/>
        <w:ind w:firstLine="397"/>
        <w:jc w:val="both"/>
        <w:rPr>
          <w:rFonts w:ascii="Times New Roman" w:eastAsia="Calibri" w:hAnsi="Times New Roman" w:cs="Times New Roman"/>
          <w:sz w:val="24"/>
          <w:szCs w:val="24"/>
        </w:rPr>
      </w:pP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1375</w:t>
      </w: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1172</w:t>
      </w:r>
      <w:r w:rsidR="002D374D">
        <w:rPr>
          <w:rFonts w:ascii="Times New Roman" w:eastAsia="Calibri" w:hAnsi="Times New Roman" w:cs="Times New Roman"/>
          <w:sz w:val="24"/>
          <w:szCs w:val="24"/>
        </w:rPr>
        <w:t xml:space="preserve"> - </w:t>
      </w:r>
      <w:r w:rsidRPr="00304E5F">
        <w:rPr>
          <w:rFonts w:ascii="Times New Roman" w:eastAsia="Calibri" w:hAnsi="Times New Roman" w:cs="Times New Roman"/>
          <w:sz w:val="24"/>
          <w:szCs w:val="24"/>
        </w:rPr>
        <w:t>Изменение соотношения, может быть связано с конформационными изменениями пирролов.</w:t>
      </w:r>
    </w:p>
    <w:p w14:paraId="365AFF31" w14:textId="77777777" w:rsidR="00F37D23" w:rsidRPr="00304E5F" w:rsidRDefault="00F37D23" w:rsidP="00CC0C04">
      <w:pPr>
        <w:spacing w:after="0" w:line="240" w:lineRule="auto"/>
        <w:ind w:firstLine="397"/>
        <w:jc w:val="both"/>
        <w:rPr>
          <w:rFonts w:ascii="Times New Roman" w:eastAsia="Calibri" w:hAnsi="Times New Roman" w:cs="Times New Roman"/>
          <w:sz w:val="24"/>
          <w:szCs w:val="24"/>
        </w:rPr>
      </w:pP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1375</w:t>
      </w: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1580</w:t>
      </w:r>
      <w:r w:rsidRPr="00304E5F">
        <w:rPr>
          <w:rFonts w:ascii="Times New Roman" w:eastAsia="Calibri" w:hAnsi="Times New Roman" w:cs="Times New Roman"/>
          <w:sz w:val="24"/>
          <w:szCs w:val="24"/>
        </w:rPr>
        <w:t xml:space="preserve"> - Относительная способность Гб выделять лиганды (в том числе, О2), чем оно выше, тем меньше способность выделять лиганды.</w:t>
      </w:r>
    </w:p>
    <w:p w14:paraId="5BFCD1B7" w14:textId="77777777" w:rsidR="00F37D23" w:rsidRPr="00304E5F" w:rsidRDefault="00F37D23" w:rsidP="00CC0C04">
      <w:pPr>
        <w:spacing w:after="0" w:line="240" w:lineRule="auto"/>
        <w:ind w:firstLine="397"/>
        <w:jc w:val="both"/>
        <w:rPr>
          <w:rFonts w:ascii="Times New Roman" w:eastAsia="Calibri" w:hAnsi="Times New Roman" w:cs="Times New Roman"/>
          <w:sz w:val="24"/>
          <w:szCs w:val="24"/>
        </w:rPr>
      </w:pPr>
      <w:r w:rsidRPr="00304E5F">
        <w:rPr>
          <w:rFonts w:ascii="Times New Roman" w:eastAsia="Calibri" w:hAnsi="Times New Roman" w:cs="Times New Roman"/>
          <w:bCs/>
          <w:sz w:val="24"/>
          <w:szCs w:val="24"/>
        </w:rPr>
        <w:lastRenderedPageBreak/>
        <w:t>I</w:t>
      </w:r>
      <w:r w:rsidRPr="00304E5F">
        <w:rPr>
          <w:rFonts w:ascii="Times New Roman" w:eastAsia="Calibri" w:hAnsi="Times New Roman" w:cs="Times New Roman"/>
          <w:bCs/>
          <w:sz w:val="24"/>
          <w:szCs w:val="24"/>
          <w:vertAlign w:val="subscript"/>
        </w:rPr>
        <w:t>1580</w:t>
      </w: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1550</w:t>
      </w:r>
      <w:r w:rsidR="002D374D">
        <w:rPr>
          <w:rFonts w:ascii="Times New Roman" w:eastAsia="Calibri" w:hAnsi="Times New Roman" w:cs="Times New Roman"/>
          <w:sz w:val="24"/>
          <w:szCs w:val="24"/>
        </w:rPr>
        <w:t xml:space="preserve"> - Х</w:t>
      </w:r>
      <w:r w:rsidRPr="00304E5F">
        <w:rPr>
          <w:rFonts w:ascii="Times New Roman" w:eastAsia="Calibri" w:hAnsi="Times New Roman" w:cs="Times New Roman"/>
          <w:sz w:val="24"/>
          <w:szCs w:val="24"/>
        </w:rPr>
        <w:t>арактеризует сродство Гб к лигандам, в частности к кислороду). Чем оно выше, тем выраженнее сродство к лигандам.</w:t>
      </w:r>
    </w:p>
    <w:p w14:paraId="0D064E4C" w14:textId="77777777" w:rsidR="00F37D23" w:rsidRPr="00304E5F" w:rsidRDefault="00F37D23" w:rsidP="00CC0C04">
      <w:pPr>
        <w:spacing w:after="0" w:line="240" w:lineRule="auto"/>
        <w:ind w:firstLine="397"/>
        <w:jc w:val="both"/>
        <w:rPr>
          <w:rFonts w:ascii="Times New Roman" w:eastAsia="Calibri" w:hAnsi="Times New Roman" w:cs="Times New Roman"/>
          <w:sz w:val="24"/>
          <w:szCs w:val="24"/>
        </w:rPr>
      </w:pP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1355</w:t>
      </w: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1355</w:t>
      </w: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1375</w:t>
      </w:r>
      <w:r w:rsidRPr="00304E5F">
        <w:rPr>
          <w:rFonts w:ascii="Times New Roman" w:eastAsia="Calibri" w:hAnsi="Times New Roman" w:cs="Times New Roman"/>
          <w:bCs/>
          <w:sz w:val="24"/>
          <w:szCs w:val="24"/>
        </w:rPr>
        <w:t xml:space="preserve">) </w:t>
      </w:r>
      <w:r w:rsidRPr="00304E5F">
        <w:rPr>
          <w:rFonts w:ascii="Times New Roman" w:eastAsia="Calibri" w:hAnsi="Times New Roman" w:cs="Times New Roman"/>
          <w:sz w:val="24"/>
          <w:szCs w:val="24"/>
        </w:rPr>
        <w:t>- Относительное количество комплексов дГб.</w:t>
      </w:r>
    </w:p>
    <w:p w14:paraId="45F673E7" w14:textId="77777777" w:rsidR="00F37D23" w:rsidRPr="00304E5F" w:rsidRDefault="00F37D23" w:rsidP="00CC0C04">
      <w:pPr>
        <w:spacing w:after="0" w:line="240" w:lineRule="auto"/>
        <w:ind w:firstLine="397"/>
        <w:jc w:val="both"/>
        <w:rPr>
          <w:rFonts w:ascii="Times New Roman" w:eastAsia="Calibri" w:hAnsi="Times New Roman" w:cs="Times New Roman"/>
          <w:sz w:val="24"/>
          <w:szCs w:val="24"/>
        </w:rPr>
      </w:pP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1355</w:t>
      </w: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1550</w:t>
      </w: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1375</w:t>
      </w: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1580</w:t>
      </w:r>
      <w:r w:rsidRPr="00304E5F">
        <w:rPr>
          <w:rFonts w:ascii="Times New Roman" w:eastAsia="Calibri" w:hAnsi="Times New Roman" w:cs="Times New Roman"/>
          <w:bCs/>
          <w:sz w:val="24"/>
          <w:szCs w:val="24"/>
        </w:rPr>
        <w:t>)</w:t>
      </w:r>
      <w:r w:rsidRPr="00304E5F">
        <w:rPr>
          <w:rFonts w:ascii="Times New Roman" w:eastAsia="Calibri" w:hAnsi="Times New Roman" w:cs="Times New Roman"/>
          <w:sz w:val="24"/>
          <w:szCs w:val="24"/>
        </w:rPr>
        <w:t xml:space="preserve"> - Сродство Гб к лигандам (в первую очередь, О2).</w:t>
      </w:r>
    </w:p>
    <w:p w14:paraId="1AC94AE6" w14:textId="77777777" w:rsidR="00F37D23" w:rsidRPr="00304E5F" w:rsidRDefault="00F37D23" w:rsidP="00CC0C04">
      <w:pPr>
        <w:spacing w:after="0" w:line="240" w:lineRule="auto"/>
        <w:ind w:firstLine="397"/>
        <w:jc w:val="both"/>
        <w:rPr>
          <w:rFonts w:ascii="Times New Roman" w:eastAsia="Calibri" w:hAnsi="Times New Roman" w:cs="Times New Roman"/>
          <w:sz w:val="24"/>
          <w:szCs w:val="24"/>
        </w:rPr>
      </w:pP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2850</w:t>
      </w: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2880</w:t>
      </w:r>
      <w:r w:rsidRPr="00304E5F">
        <w:rPr>
          <w:rFonts w:ascii="Times New Roman" w:eastAsia="Calibri" w:hAnsi="Times New Roman" w:cs="Times New Roman"/>
          <w:bCs/>
          <w:sz w:val="24"/>
          <w:szCs w:val="24"/>
        </w:rPr>
        <w:t xml:space="preserve"> </w:t>
      </w:r>
      <w:r w:rsidR="002D374D">
        <w:rPr>
          <w:rFonts w:ascii="Times New Roman" w:eastAsia="Calibri" w:hAnsi="Times New Roman" w:cs="Times New Roman"/>
          <w:sz w:val="24"/>
          <w:szCs w:val="24"/>
        </w:rPr>
        <w:t xml:space="preserve">- </w:t>
      </w:r>
      <w:r w:rsidRPr="00304E5F">
        <w:rPr>
          <w:rFonts w:ascii="Times New Roman" w:eastAsia="Calibri" w:hAnsi="Times New Roman" w:cs="Times New Roman"/>
          <w:sz w:val="24"/>
          <w:szCs w:val="24"/>
        </w:rPr>
        <w:t>Указывает на изменение Относ</w:t>
      </w:r>
      <w:r w:rsidR="00304E5F">
        <w:rPr>
          <w:rFonts w:ascii="Times New Roman" w:eastAsia="Calibri" w:hAnsi="Times New Roman" w:cs="Times New Roman"/>
          <w:sz w:val="24"/>
          <w:szCs w:val="24"/>
        </w:rPr>
        <w:t xml:space="preserve">ительное число комплексов </w:t>
      </w:r>
      <w:r w:rsidRPr="00304E5F">
        <w:rPr>
          <w:rFonts w:ascii="Times New Roman" w:eastAsia="Calibri" w:hAnsi="Times New Roman" w:cs="Times New Roman"/>
          <w:sz w:val="24"/>
          <w:szCs w:val="24"/>
        </w:rPr>
        <w:t xml:space="preserve">Гб </w:t>
      </w:r>
      <w:r w:rsidR="00304E5F">
        <w:rPr>
          <w:rFonts w:ascii="Times New Roman" w:eastAsia="Calibri" w:hAnsi="Times New Roman" w:cs="Times New Roman"/>
          <w:sz w:val="24"/>
          <w:szCs w:val="24"/>
        </w:rPr>
        <w:t xml:space="preserve">с NO(I) </w:t>
      </w:r>
      <w:r w:rsidRPr="00304E5F">
        <w:rPr>
          <w:rFonts w:ascii="Times New Roman" w:eastAsia="Calibri" w:hAnsi="Times New Roman" w:cs="Times New Roman"/>
          <w:sz w:val="24"/>
          <w:szCs w:val="24"/>
        </w:rPr>
        <w:t>липидной текучести мембраны. Чем выше соотношение, тем ниже плотность упаковки.</w:t>
      </w:r>
    </w:p>
    <w:p w14:paraId="374B1533" w14:textId="77777777" w:rsidR="00F37D23" w:rsidRPr="00304E5F" w:rsidRDefault="00F37D23" w:rsidP="00CC0C04">
      <w:pPr>
        <w:spacing w:after="0" w:line="240" w:lineRule="auto"/>
        <w:ind w:firstLine="397"/>
        <w:jc w:val="both"/>
        <w:rPr>
          <w:rFonts w:ascii="Times New Roman" w:eastAsia="Calibri" w:hAnsi="Times New Roman" w:cs="Times New Roman"/>
          <w:sz w:val="24"/>
          <w:szCs w:val="24"/>
        </w:rPr>
      </w:pP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2880</w:t>
      </w: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2930</w:t>
      </w:r>
      <w:r w:rsidRPr="00304E5F">
        <w:rPr>
          <w:rFonts w:ascii="Times New Roman" w:eastAsia="Calibri" w:hAnsi="Times New Roman" w:cs="Times New Roman"/>
          <w:sz w:val="24"/>
          <w:szCs w:val="24"/>
        </w:rPr>
        <w:t xml:space="preserve"> - Вклад колебаний Н метиленовых групп аминокислот, определяется конформационной подвижностью. При увеличении параметра увеличивается упорядоченность аминокислот и плотность упаковки аминокислот.</w:t>
      </w:r>
    </w:p>
    <w:p w14:paraId="56790F7B" w14:textId="77777777" w:rsidR="00F37D23" w:rsidRPr="00304E5F" w:rsidRDefault="00F37D23" w:rsidP="00CC0C04">
      <w:pPr>
        <w:spacing w:after="0" w:line="240" w:lineRule="auto"/>
        <w:ind w:firstLine="397"/>
        <w:jc w:val="both"/>
        <w:rPr>
          <w:rFonts w:ascii="Times New Roman" w:eastAsia="Calibri" w:hAnsi="Times New Roman" w:cs="Times New Roman"/>
          <w:sz w:val="24"/>
          <w:szCs w:val="24"/>
        </w:rPr>
      </w:pP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2930</w:t>
      </w:r>
      <w:r w:rsidRPr="00304E5F">
        <w:rPr>
          <w:rFonts w:ascii="Times New Roman" w:eastAsia="Calibri" w:hAnsi="Times New Roman" w:cs="Times New Roman"/>
          <w:bCs/>
          <w:sz w:val="24"/>
          <w:szCs w:val="24"/>
        </w:rPr>
        <w:t>/I</w:t>
      </w:r>
      <w:r w:rsidRPr="00304E5F">
        <w:rPr>
          <w:rFonts w:ascii="Times New Roman" w:eastAsia="Calibri" w:hAnsi="Times New Roman" w:cs="Times New Roman"/>
          <w:bCs/>
          <w:sz w:val="24"/>
          <w:szCs w:val="24"/>
          <w:vertAlign w:val="subscript"/>
        </w:rPr>
        <w:t>2850</w:t>
      </w:r>
      <w:r w:rsidR="002D374D">
        <w:rPr>
          <w:rFonts w:ascii="Times New Roman" w:eastAsia="Calibri" w:hAnsi="Times New Roman" w:cs="Times New Roman"/>
          <w:sz w:val="24"/>
          <w:szCs w:val="24"/>
        </w:rPr>
        <w:t xml:space="preserve"> - </w:t>
      </w:r>
      <w:r w:rsidRPr="00304E5F">
        <w:rPr>
          <w:rFonts w:ascii="Times New Roman" w:eastAsia="Calibri" w:hAnsi="Times New Roman" w:cs="Times New Roman"/>
          <w:sz w:val="24"/>
          <w:szCs w:val="24"/>
        </w:rPr>
        <w:t>Характеризует изменение полярности окружения аминокислот. Чем выше соотношение, тем ниже полярность окружения.</w:t>
      </w:r>
    </w:p>
    <w:p w14:paraId="7D53C63C" w14:textId="77777777" w:rsidR="00F37D23" w:rsidRPr="00304E5F" w:rsidRDefault="00F37D23" w:rsidP="00CC0C04">
      <w:pPr>
        <w:spacing w:after="0" w:line="240" w:lineRule="auto"/>
        <w:ind w:firstLine="397"/>
        <w:jc w:val="both"/>
        <w:rPr>
          <w:rFonts w:ascii="Times New Roman" w:eastAsia="Calibri" w:hAnsi="Times New Roman" w:cs="Times New Roman"/>
          <w:sz w:val="24"/>
          <w:szCs w:val="24"/>
        </w:rPr>
      </w:pPr>
      <w:r w:rsidRPr="00304E5F">
        <w:rPr>
          <w:rFonts w:ascii="Times New Roman" w:eastAsia="Calibri" w:hAnsi="Times New Roman" w:cs="Times New Roman"/>
          <w:sz w:val="24"/>
          <w:szCs w:val="24"/>
        </w:rPr>
        <w:t>Полученные данные могут подтвердить перспективность использования КР-спектроскопии как неинвазивного метода для выявления молекулярных изменений при онкологических заболеваниях до, во время и после лучевой терапии и подчеркивают её потенциал в качестве инструмента ранней диагностики рака шейки матки.</w:t>
      </w:r>
    </w:p>
    <w:p w14:paraId="11E8E2DC" w14:textId="77777777" w:rsidR="00304E5F" w:rsidRPr="00CC0C04" w:rsidRDefault="00304E5F" w:rsidP="00CC0C04">
      <w:pPr>
        <w:spacing w:before="120" w:after="120" w:line="240" w:lineRule="auto"/>
        <w:jc w:val="center"/>
        <w:rPr>
          <w:rFonts w:ascii="Times New Roman" w:hAnsi="Times New Roman" w:cs="Times New Roman"/>
          <w:b/>
          <w:bCs/>
          <w:sz w:val="24"/>
          <w:szCs w:val="24"/>
        </w:rPr>
      </w:pPr>
      <w:r w:rsidRPr="00CC0C04">
        <w:rPr>
          <w:rFonts w:ascii="Times New Roman" w:hAnsi="Times New Roman" w:cs="Times New Roman"/>
          <w:b/>
          <w:bCs/>
          <w:sz w:val="24"/>
          <w:szCs w:val="24"/>
        </w:rPr>
        <w:t>Литература</w:t>
      </w:r>
    </w:p>
    <w:p w14:paraId="2E53DD87" w14:textId="77777777" w:rsidR="00F37D23" w:rsidRPr="00F37D23" w:rsidRDefault="00F37D23" w:rsidP="00CC0C04">
      <w:pPr>
        <w:numPr>
          <w:ilvl w:val="0"/>
          <w:numId w:val="1"/>
        </w:numPr>
        <w:spacing w:after="0" w:line="240" w:lineRule="auto"/>
        <w:ind w:left="709" w:hanging="283"/>
        <w:jc w:val="both"/>
        <w:rPr>
          <w:rFonts w:ascii="Times New Roman" w:eastAsia="Calibri" w:hAnsi="Times New Roman" w:cs="Times New Roman"/>
          <w:sz w:val="24"/>
          <w:szCs w:val="24"/>
        </w:rPr>
      </w:pPr>
      <w:r w:rsidRPr="00F37D23">
        <w:rPr>
          <w:rFonts w:ascii="Times New Roman" w:eastAsia="Calibri" w:hAnsi="Times New Roman" w:cs="Times New Roman"/>
          <w:sz w:val="24"/>
          <w:szCs w:val="24"/>
        </w:rPr>
        <w:t>Андрюков Б. Г. и др. Рамановская спектроскопия-современная диагностическая технология для изучения и индикации возбудителей инфекций (обзор) //Современные технологии в медицине. – 2019. – Т. 11. – №. 4. – С. 161-174.</w:t>
      </w:r>
    </w:p>
    <w:p w14:paraId="62664215" w14:textId="5C8FD202" w:rsidR="00F37D23" w:rsidRPr="00F37D23" w:rsidRDefault="00F37D23" w:rsidP="00CC0C04">
      <w:pPr>
        <w:numPr>
          <w:ilvl w:val="0"/>
          <w:numId w:val="1"/>
        </w:numPr>
        <w:spacing w:after="0" w:line="240" w:lineRule="auto"/>
        <w:ind w:left="709" w:hanging="283"/>
        <w:jc w:val="both"/>
        <w:rPr>
          <w:rFonts w:ascii="Times New Roman" w:eastAsia="Calibri" w:hAnsi="Times New Roman" w:cs="Times New Roman"/>
          <w:sz w:val="24"/>
          <w:szCs w:val="24"/>
          <w:lang w:val="en-US"/>
        </w:rPr>
      </w:pPr>
      <w:r w:rsidRPr="00F37D23">
        <w:rPr>
          <w:rFonts w:ascii="Times New Roman" w:eastAsia="Calibri" w:hAnsi="Times New Roman" w:cs="Times New Roman"/>
          <w:sz w:val="24"/>
          <w:szCs w:val="24"/>
          <w:lang w:val="en-US"/>
        </w:rPr>
        <w:t xml:space="preserve">Dina N.E., Zhou H., Colniţă A., Leopold N., SzokeNagy T., Coman C., Haisch C. Rapid single-cell detection and identification of pathogens by using surface-enhanced Raman spectroscopy. Analyst 2017; 142(10): 1782–1789, </w:t>
      </w:r>
      <w:r w:rsidRPr="00060A07">
        <w:rPr>
          <w:rFonts w:ascii="Times New Roman" w:eastAsia="Calibri" w:hAnsi="Times New Roman" w:cs="Times New Roman"/>
          <w:sz w:val="24"/>
          <w:szCs w:val="24"/>
          <w:lang w:val="en-US"/>
        </w:rPr>
        <w:t>https://doi.org/10.1039/c7an00106a</w:t>
      </w:r>
      <w:r w:rsidRPr="00F37D23">
        <w:rPr>
          <w:rFonts w:ascii="Times New Roman" w:eastAsia="Calibri" w:hAnsi="Times New Roman" w:cs="Times New Roman"/>
          <w:sz w:val="24"/>
          <w:szCs w:val="24"/>
          <w:lang w:val="en-US"/>
        </w:rPr>
        <w:t>.</w:t>
      </w:r>
    </w:p>
    <w:p w14:paraId="080208C2" w14:textId="6D3828B0" w:rsidR="00F37D23" w:rsidRPr="00F37D23" w:rsidRDefault="00F37D23" w:rsidP="00CC0C04">
      <w:pPr>
        <w:numPr>
          <w:ilvl w:val="0"/>
          <w:numId w:val="1"/>
        </w:numPr>
        <w:spacing w:after="0" w:line="240" w:lineRule="auto"/>
        <w:ind w:left="709" w:hanging="283"/>
        <w:jc w:val="both"/>
        <w:rPr>
          <w:rFonts w:ascii="Times New Roman" w:eastAsia="Calibri" w:hAnsi="Times New Roman" w:cs="Times New Roman"/>
          <w:sz w:val="24"/>
          <w:szCs w:val="24"/>
          <w:lang w:val="en-US"/>
        </w:rPr>
      </w:pPr>
      <w:r w:rsidRPr="00F37D23">
        <w:rPr>
          <w:rFonts w:ascii="Times New Roman" w:eastAsia="Calibri" w:hAnsi="Times New Roman" w:cs="Times New Roman"/>
          <w:sz w:val="24"/>
          <w:szCs w:val="24"/>
          <w:lang w:val="en-US"/>
        </w:rPr>
        <w:t xml:space="preserve">Li Y.-S., Church J.S. Raman spectroscopy in the analysis of food and pharmaceutical nanomaterials. J Food Drug Anal 2014; 22(1): 29–48, </w:t>
      </w:r>
      <w:r w:rsidRPr="00060A07">
        <w:rPr>
          <w:rFonts w:ascii="Times New Roman" w:eastAsia="Calibri" w:hAnsi="Times New Roman" w:cs="Times New Roman"/>
          <w:sz w:val="24"/>
          <w:szCs w:val="24"/>
          <w:lang w:val="en-US"/>
        </w:rPr>
        <w:t>https://doi.org/10.1016/j.jfda.2014.01.003</w:t>
      </w:r>
      <w:r w:rsidRPr="00F37D23">
        <w:rPr>
          <w:rFonts w:ascii="Times New Roman" w:eastAsia="Calibri" w:hAnsi="Times New Roman" w:cs="Times New Roman"/>
          <w:sz w:val="24"/>
          <w:szCs w:val="24"/>
          <w:lang w:val="en-US"/>
        </w:rPr>
        <w:t xml:space="preserve">. </w:t>
      </w:r>
    </w:p>
    <w:p w14:paraId="5116A7E2" w14:textId="5D4B5553" w:rsidR="00F37D23" w:rsidRPr="00F37D23" w:rsidRDefault="00F37D23" w:rsidP="00CC0C04">
      <w:pPr>
        <w:numPr>
          <w:ilvl w:val="0"/>
          <w:numId w:val="1"/>
        </w:numPr>
        <w:spacing w:after="0" w:line="240" w:lineRule="auto"/>
        <w:ind w:left="709" w:hanging="283"/>
        <w:jc w:val="both"/>
        <w:rPr>
          <w:rFonts w:ascii="Times New Roman" w:eastAsia="Calibri" w:hAnsi="Times New Roman" w:cs="Times New Roman"/>
          <w:sz w:val="24"/>
          <w:szCs w:val="24"/>
          <w:lang w:val="en-US"/>
        </w:rPr>
      </w:pPr>
      <w:r w:rsidRPr="00F37D23">
        <w:rPr>
          <w:rFonts w:ascii="Times New Roman" w:eastAsia="Calibri" w:hAnsi="Times New Roman" w:cs="Times New Roman"/>
          <w:sz w:val="24"/>
          <w:szCs w:val="24"/>
          <w:lang w:val="en-US"/>
        </w:rPr>
        <w:t xml:space="preserve">Mahmood T., Nawaz H., Ditta A., Majeed M.I., Hanif M.A., Rashid N., Bhatti H.N., Nargis H.F., Saleem M., Bonnier F., Byrne H.J. Raman spectral analysis for rapid screening of dengue infection. Spectrochim Acta A Mol Biomol Spectrosc 2018; 200: 136–142, </w:t>
      </w:r>
      <w:r w:rsidRPr="00060A07">
        <w:rPr>
          <w:rFonts w:ascii="Times New Roman" w:eastAsia="Calibri" w:hAnsi="Times New Roman" w:cs="Times New Roman"/>
          <w:sz w:val="24"/>
          <w:szCs w:val="24"/>
          <w:lang w:val="en-US"/>
        </w:rPr>
        <w:t>https://doi.org/10.1016/j.saa.2018.04.018</w:t>
      </w:r>
      <w:r w:rsidRPr="00F37D23">
        <w:rPr>
          <w:rFonts w:ascii="Times New Roman" w:eastAsia="Calibri" w:hAnsi="Times New Roman" w:cs="Times New Roman"/>
          <w:sz w:val="24"/>
          <w:szCs w:val="24"/>
          <w:lang w:val="en-US"/>
        </w:rPr>
        <w:t>.</w:t>
      </w:r>
    </w:p>
    <w:p w14:paraId="6D3365C9" w14:textId="0212CAEB" w:rsidR="00F37D23" w:rsidRPr="00F37D23" w:rsidRDefault="00F37D23" w:rsidP="00CC0C04">
      <w:pPr>
        <w:numPr>
          <w:ilvl w:val="0"/>
          <w:numId w:val="1"/>
        </w:numPr>
        <w:spacing w:after="0" w:line="240" w:lineRule="auto"/>
        <w:ind w:left="709" w:hanging="283"/>
        <w:jc w:val="both"/>
        <w:rPr>
          <w:rFonts w:ascii="Times New Roman" w:eastAsia="Calibri" w:hAnsi="Times New Roman" w:cs="Times New Roman"/>
          <w:sz w:val="24"/>
          <w:szCs w:val="24"/>
          <w:lang w:val="en-US"/>
        </w:rPr>
      </w:pPr>
      <w:r w:rsidRPr="00F37D23">
        <w:rPr>
          <w:rFonts w:ascii="Times New Roman" w:eastAsia="Calibri" w:hAnsi="Times New Roman" w:cs="Times New Roman"/>
          <w:sz w:val="24"/>
          <w:szCs w:val="24"/>
          <w:lang w:val="en-US"/>
        </w:rPr>
        <w:t xml:space="preserve">Pacheco M.T.T., Moreira L.M. Raman spectroscopy: new perspectives for its clinical application in diagnosis. Photomed Laser Surg 2013; 31(10): 463–465, </w:t>
      </w:r>
      <w:r w:rsidRPr="00060A07">
        <w:rPr>
          <w:rFonts w:ascii="Times New Roman" w:eastAsia="Calibri" w:hAnsi="Times New Roman" w:cs="Times New Roman"/>
          <w:sz w:val="24"/>
          <w:szCs w:val="24"/>
          <w:lang w:val="en-US"/>
        </w:rPr>
        <w:t>https://doi.org/10.1089/pho.2013.9873</w:t>
      </w:r>
      <w:r w:rsidRPr="00F37D23">
        <w:rPr>
          <w:rFonts w:ascii="Times New Roman" w:eastAsia="Calibri" w:hAnsi="Times New Roman" w:cs="Times New Roman"/>
          <w:sz w:val="24"/>
          <w:szCs w:val="24"/>
          <w:lang w:val="en-US"/>
        </w:rPr>
        <w:t>.</w:t>
      </w:r>
    </w:p>
    <w:p w14:paraId="67D4C44E" w14:textId="4BFDABFC" w:rsidR="00F37D23" w:rsidRPr="00F37D23" w:rsidRDefault="00F37D23" w:rsidP="00CC0C04">
      <w:pPr>
        <w:numPr>
          <w:ilvl w:val="0"/>
          <w:numId w:val="1"/>
        </w:numPr>
        <w:spacing w:after="0" w:line="240" w:lineRule="auto"/>
        <w:ind w:left="709" w:hanging="283"/>
        <w:jc w:val="both"/>
        <w:rPr>
          <w:rFonts w:ascii="Times New Roman" w:eastAsia="Calibri" w:hAnsi="Times New Roman" w:cs="Times New Roman"/>
          <w:sz w:val="24"/>
          <w:szCs w:val="24"/>
          <w:lang w:val="en-US"/>
        </w:rPr>
      </w:pPr>
      <w:r w:rsidRPr="00F37D23">
        <w:rPr>
          <w:rFonts w:ascii="Times New Roman" w:eastAsia="Calibri" w:hAnsi="Times New Roman" w:cs="Times New Roman"/>
          <w:sz w:val="24"/>
          <w:szCs w:val="24"/>
          <w:lang w:val="en-US"/>
        </w:rPr>
        <w:t xml:space="preserve">Schmitt M., Popp J. Raman spectroscopy at the beginning of the twenty-first century. J Raman Spectrosc 2006; 37(1–3): 20–28, </w:t>
      </w:r>
      <w:r w:rsidRPr="00060A07">
        <w:rPr>
          <w:rFonts w:ascii="Times New Roman" w:eastAsia="Calibri" w:hAnsi="Times New Roman" w:cs="Times New Roman"/>
          <w:sz w:val="24"/>
          <w:szCs w:val="24"/>
          <w:lang w:val="en-US"/>
        </w:rPr>
        <w:t>https://doi.org/10.1002/jrs.1486</w:t>
      </w:r>
      <w:r w:rsidRPr="00F37D23">
        <w:rPr>
          <w:rFonts w:ascii="Times New Roman" w:eastAsia="Calibri" w:hAnsi="Times New Roman" w:cs="Times New Roman"/>
          <w:sz w:val="24"/>
          <w:szCs w:val="24"/>
          <w:lang w:val="en-US"/>
        </w:rPr>
        <w:t>.</w:t>
      </w:r>
    </w:p>
    <w:p w14:paraId="687BE0F1" w14:textId="04C70432" w:rsidR="002E3C10" w:rsidRPr="00554B2C" w:rsidRDefault="00F37D23" w:rsidP="00CC0C04">
      <w:pPr>
        <w:numPr>
          <w:ilvl w:val="0"/>
          <w:numId w:val="1"/>
        </w:numPr>
        <w:spacing w:after="0" w:line="240" w:lineRule="auto"/>
        <w:ind w:left="709" w:hanging="283"/>
        <w:jc w:val="both"/>
        <w:rPr>
          <w:lang w:val="en-US"/>
        </w:rPr>
      </w:pPr>
      <w:r w:rsidRPr="00304E5F">
        <w:rPr>
          <w:rFonts w:ascii="Times New Roman" w:eastAsia="Calibri" w:hAnsi="Times New Roman" w:cs="Times New Roman"/>
          <w:sz w:val="24"/>
          <w:szCs w:val="24"/>
          <w:lang w:val="en-US"/>
        </w:rPr>
        <w:t xml:space="preserve">Zhu X., Xu T., Lin Q., Duan Y. Technical development of Raman spectroscopy: from instrumental to advanced combined technologies. Appl Spectrosc Rev 2014; 49(1): 64– 82, </w:t>
      </w:r>
      <w:r w:rsidRPr="00060A07">
        <w:rPr>
          <w:rFonts w:ascii="Times New Roman" w:eastAsia="Calibri" w:hAnsi="Times New Roman" w:cs="Times New Roman"/>
          <w:sz w:val="24"/>
          <w:szCs w:val="24"/>
          <w:lang w:val="en-US"/>
        </w:rPr>
        <w:t>https://doi.org/10.1080/05704928.201</w:t>
      </w:r>
      <w:bookmarkStart w:id="0" w:name="_GoBack"/>
      <w:bookmarkEnd w:id="0"/>
      <w:r w:rsidRPr="00060A07">
        <w:rPr>
          <w:rFonts w:ascii="Times New Roman" w:eastAsia="Calibri" w:hAnsi="Times New Roman" w:cs="Times New Roman"/>
          <w:sz w:val="24"/>
          <w:szCs w:val="24"/>
          <w:lang w:val="en-US"/>
        </w:rPr>
        <w:t>3.798801</w:t>
      </w:r>
      <w:r w:rsidRPr="00304E5F">
        <w:rPr>
          <w:rFonts w:ascii="Times New Roman" w:eastAsia="Calibri" w:hAnsi="Times New Roman" w:cs="Times New Roman"/>
          <w:sz w:val="24"/>
          <w:szCs w:val="24"/>
          <w:lang w:val="en-US"/>
        </w:rPr>
        <w:t>.</w:t>
      </w:r>
      <w:r w:rsidRPr="00554B2C">
        <w:rPr>
          <w:rFonts w:ascii="Times New Roman" w:eastAsia="Calibri" w:hAnsi="Times New Roman" w:cs="Times New Roman"/>
          <w:sz w:val="24"/>
          <w:szCs w:val="24"/>
          <w:lang w:val="en-US"/>
        </w:rPr>
        <w:t xml:space="preserve"> </w:t>
      </w:r>
    </w:p>
    <w:sectPr w:rsidR="002E3C10" w:rsidRPr="00554B2C" w:rsidSect="00BE686A">
      <w:pgSz w:w="11906" w:h="16838"/>
      <w:pgMar w:top="1134" w:right="1361" w:bottom="125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5D51"/>
    <w:multiLevelType w:val="hybridMultilevel"/>
    <w:tmpl w:val="69BCC52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F3"/>
    <w:rsid w:val="00060A07"/>
    <w:rsid w:val="00187DF3"/>
    <w:rsid w:val="002D374D"/>
    <w:rsid w:val="002E3C10"/>
    <w:rsid w:val="00304E5F"/>
    <w:rsid w:val="004072AD"/>
    <w:rsid w:val="00536C3B"/>
    <w:rsid w:val="00554B2C"/>
    <w:rsid w:val="005D2BB0"/>
    <w:rsid w:val="00666993"/>
    <w:rsid w:val="00AA74A0"/>
    <w:rsid w:val="00B65455"/>
    <w:rsid w:val="00BE686A"/>
    <w:rsid w:val="00CC0C04"/>
    <w:rsid w:val="00F37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78A3"/>
  <w15:chartTrackingRefBased/>
  <w15:docId w15:val="{FF1A4F9E-011F-4289-A077-05F1E0D1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D23"/>
    <w:rPr>
      <w:color w:val="0563C1" w:themeColor="hyperlink"/>
      <w:u w:val="single"/>
    </w:rPr>
  </w:style>
  <w:style w:type="character" w:styleId="a4">
    <w:name w:val="Emphasis"/>
    <w:basedOn w:val="a0"/>
    <w:uiPriority w:val="20"/>
    <w:qFormat/>
    <w:rsid w:val="00304E5F"/>
    <w:rPr>
      <w:i/>
      <w:iCs/>
    </w:rPr>
  </w:style>
  <w:style w:type="paragraph" w:styleId="a5">
    <w:name w:val="List Paragraph"/>
    <w:basedOn w:val="a"/>
    <w:uiPriority w:val="34"/>
    <w:qFormat/>
    <w:rsid w:val="00304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852</Words>
  <Characters>4859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dcterms:created xsi:type="dcterms:W3CDTF">2025-04-11T14:43:00Z</dcterms:created>
  <dcterms:modified xsi:type="dcterms:W3CDTF">2025-04-12T11:34:00Z</dcterms:modified>
</cp:coreProperties>
</file>