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A360" w14:textId="77777777" w:rsidR="00A723FC" w:rsidRDefault="00000000">
      <w:pPr>
        <w:spacing w:after="0" w:line="240" w:lineRule="auto"/>
        <w:ind w:firstLine="39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Разработка экспериментальной установки для определения коэффициента теплопроводности материалов</w:t>
      </w:r>
    </w:p>
    <w:p w14:paraId="66137BCE" w14:textId="446DCEA5" w:rsidR="00A723FC" w:rsidRPr="0016673A" w:rsidRDefault="0000000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16673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Прохоров С.А.,</w:t>
      </w:r>
      <w:r w:rsidRPr="0016673A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 </w:t>
      </w:r>
      <w:r w:rsidRPr="0016673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Гермогенов А.Г., </w:t>
      </w:r>
      <w:proofErr w:type="spellStart"/>
      <w:r w:rsidRPr="0016673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Боякинов</w:t>
      </w:r>
      <w:proofErr w:type="spellEnd"/>
      <w:r w:rsidRPr="0016673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Е.Ф. </w:t>
      </w:r>
      <w:proofErr w:type="spellStart"/>
      <w:r w:rsidRPr="0016673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Троев</w:t>
      </w:r>
      <w:proofErr w:type="spellEnd"/>
      <w:r w:rsidRPr="0016673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Е.Я.</w:t>
      </w:r>
    </w:p>
    <w:p w14:paraId="14817730" w14:textId="77777777" w:rsidR="00A723FC" w:rsidRDefault="00000000">
      <w:pPr>
        <w:spacing w:after="0" w:line="240" w:lineRule="auto"/>
        <w:ind w:firstLine="39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Северо-Восточный федеральный университет имени </w:t>
      </w:r>
      <w:proofErr w:type="spellStart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М.К.Аммосова</w:t>
      </w:r>
      <w:proofErr w:type="spellEnd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, </w:t>
      </w:r>
    </w:p>
    <w:p w14:paraId="45C62EC0" w14:textId="77777777" w:rsidR="00A723FC" w:rsidRDefault="00000000">
      <w:pPr>
        <w:spacing w:after="0" w:line="240" w:lineRule="auto"/>
        <w:ind w:firstLine="39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физико-технический институт, Якутск, Россия</w:t>
      </w:r>
    </w:p>
    <w:p w14:paraId="5EFC4C12" w14:textId="439D6F53" w:rsidR="00A723FC" w:rsidRDefault="00000000">
      <w:pPr>
        <w:spacing w:after="0" w:line="240" w:lineRule="auto"/>
        <w:ind w:firstLine="397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E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–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mail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: </w:t>
      </w:r>
      <w:r w:rsidRPr="00BB0FE3">
        <w:rPr>
          <w:rFonts w:ascii="Times New Roman" w:eastAsiaTheme="minorEastAsia" w:hAnsi="Times New Roman" w:cs="Times New Roman"/>
          <w:i/>
          <w:iCs/>
          <w:sz w:val="24"/>
          <w:szCs w:val="24"/>
        </w:rPr>
        <w:t>79142902817@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mail</w:t>
      </w:r>
      <w:r w:rsidRPr="00BB0FE3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0FFF43F4" w14:textId="77777777" w:rsidR="00A723FC" w:rsidRDefault="00000000">
      <w:pPr>
        <w:spacing w:after="0" w:line="240" w:lineRule="auto"/>
        <w:ind w:firstLine="397"/>
        <w:jc w:val="both"/>
        <w:rPr>
          <w:rFonts w:eastAsiaTheme="minorEastAsia" w:cs="Segoe UI Emoji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настоящей работе представлены результаты исследования теплопроводности меха оленя. Для исследуемой системы рассчитан тепловой поток, коэффициент теплопроводности, тепловое сопротивление меха оленя. Разработана собственная экспериментальная установка на базе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Arduino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для измерения теплофизических параметров различных образцов. Экспериментальная установка включает калориметр на основе модифицированного медицинского контейнера для минимизации тепловых потерь. Она состоит из двух тепловых блоков: горячего (точечный нагреватель) и холодного (система с хладагентом МХД-3). Для точного измерения температур используются платиновые термометры PT100. Управление нагревателем и сбор данных осуществляются контроллером на базе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Arduino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с ПИД-регулированием, а обработка данных и расчет коэффициента теплопроводности выполняются с помощью Python. </w:t>
      </w:r>
    </w:p>
    <w:p w14:paraId="4EDEB351" w14:textId="21BF4FDF" w:rsidR="00A723FC" w:rsidRDefault="00000000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Для измерений исследуемый образец нареза</w:t>
      </w:r>
      <w:r w:rsidR="00BB0FE3">
        <w:rPr>
          <w:rFonts w:ascii="Times New Roman" w:eastAsiaTheme="minorEastAsia" w:hAnsi="Times New Roman" w:cs="Times New Roman"/>
          <w:sz w:val="24"/>
          <w:szCs w:val="24"/>
        </w:rPr>
        <w:t>ют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 виде прямоугольного параллелепипеда, наибольшие (лицевые) грани которого имеют форму </w:t>
      </w:r>
      <w:r w:rsidR="00BB0FE3">
        <w:rPr>
          <w:rFonts w:ascii="Times New Roman" w:eastAsiaTheme="minorEastAsia" w:hAnsi="Times New Roman" w:cs="Times New Roman"/>
          <w:sz w:val="24"/>
          <w:szCs w:val="24"/>
        </w:rPr>
        <w:t>прямоугольника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Толщину образцов </w:t>
      </w:r>
      <w:r w:rsidR="00BB0FE3">
        <w:rPr>
          <w:rFonts w:ascii="Times New Roman" w:eastAsiaTheme="minorEastAsia" w:hAnsi="Times New Roman" w:cs="Times New Roman"/>
          <w:sz w:val="24"/>
          <w:szCs w:val="24"/>
        </w:rPr>
        <w:t>измеряют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штангенциркулем в четырёх углах исследуемого образца. </w:t>
      </w:r>
      <w:r w:rsidR="00BB0FE3">
        <w:rPr>
          <w:rFonts w:ascii="Times New Roman" w:eastAsiaTheme="minorEastAsia" w:hAnsi="Times New Roman" w:cs="Times New Roman"/>
          <w:sz w:val="24"/>
          <w:szCs w:val="24"/>
        </w:rPr>
        <w:t>Вычисляют с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реднеарифметическое значение результатов. Грани образца, контактирующие с рабочими поверхностями измерительно прибора прижаты так, чтобы получились плоскими и параллельными. </w:t>
      </w:r>
      <w:r w:rsidR="00BB0FE3">
        <w:rPr>
          <w:rFonts w:ascii="Times New Roman" w:eastAsiaTheme="minorEastAsia" w:hAnsi="Times New Roman" w:cs="Times New Roman"/>
          <w:sz w:val="24"/>
          <w:szCs w:val="24"/>
        </w:rPr>
        <w:t>Рекомендуемое 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тклонение лицевых граней жесткого образца от параллельности составила не более </w:t>
      </w:r>
      <w:r w:rsidR="00BB0FE3">
        <w:rPr>
          <w:rFonts w:ascii="Times New Roman" w:eastAsiaTheme="minorEastAsia" w:hAnsi="Times New Roman" w:cs="Times New Roman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> мм. Боковые потери, обусловленные не идеальностью тепловой изоляции измерительной ячейки, и тепловое сопротивление переходов образец-нагреватель и образец-холодильник, вызванные неравномерностью рабочих поверхностей образца не учитывались в этой работе.</w:t>
      </w:r>
    </w:p>
    <w:p w14:paraId="509215CC" w14:textId="77777777" w:rsidR="00A723FC" w:rsidRDefault="00000000">
      <w:pPr>
        <w:spacing w:after="0" w:line="240" w:lineRule="auto"/>
        <w:ind w:firstLine="397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4C7B121" wp14:editId="7BE2F229">
            <wp:extent cx="3834765" cy="3262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65" cy="326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B181E" w14:textId="77777777" w:rsidR="00A723FC" w:rsidRDefault="00000000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Тестовые измерения проводились в течении 3-х часов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часов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 в ходе которого были проведены 5 полных циклов измерений температуры, достаточных для оценки параметров теплопроводности.</w:t>
      </w:r>
      <w: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Температура окружающей среды в течении цикла измерений поддерживалась стабильной ± 0,5 °С. Относительная влажность воздуха не более 80 %.</w:t>
      </w:r>
    </w:p>
    <w:p w14:paraId="41FB5155" w14:textId="77777777" w:rsidR="00416C62" w:rsidRDefault="00416C62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4B8E4AE" w14:textId="77777777" w:rsidR="00A723FC" w:rsidRDefault="00000000">
      <w:pPr>
        <w:spacing w:line="276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Коэффициент теплопроводности (λ) определяется на основе закона Фурье:</w:t>
      </w:r>
    </w:p>
    <w:p w14:paraId="3429C060" w14:textId="77777777" w:rsidR="00A723FC" w:rsidRDefault="00000000">
      <w:pPr>
        <w:spacing w:line="276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</w:rPr>
          <m:t>λ=(P⋅d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(</m:t>
            </m:r>
          </m:den>
        </m:f>
        <m:r>
          <w:rPr>
            <w:rFonts w:ascii="Cambria Math" w:hAnsi="Cambria Math"/>
          </w:rPr>
          <m:t>A⋅ΔT)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C6028F" w14:textId="77777777" w:rsidR="00A723FC" w:rsidRDefault="00000000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hAnsi="Cambria Math"/>
          </w:rPr>
          <m:t>λ-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коэффициент теплопроводности материала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Вт</m:t>
                </m:r>
              </m:num>
              <m:den>
                <m:r>
                  <w:rPr>
                    <w:rFonts w:ascii="Cambria Math" w:hAnsi="Cambria Math"/>
                  </w:rPr>
                  <m:t>м⋅К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/>
          </w:rPr>
          <m:t>d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- толщина исследуемого образца, </w:t>
      </w:r>
      <m:oMath>
        <m:r>
          <w:rPr>
            <w:rFonts w:ascii="Cambria Math" w:hAnsi="Cambria Math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- площадь поперечного сечения, </w:t>
      </w:r>
      <m:oMath>
        <m:r>
          <w:rPr>
            <w:rFonts w:ascii="Cambria Math" w:hAnsi="Cambria Math"/>
          </w:rPr>
          <m:t>ΔT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- разница температур.</w:t>
      </w:r>
    </w:p>
    <w:p w14:paraId="4E3CC193" w14:textId="77777777" w:rsidR="00C97673" w:rsidRDefault="00C97673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75D0012" w14:textId="77777777" w:rsidR="00A723FC" w:rsidRDefault="00000000" w:rsidP="00725E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Литература</w:t>
      </w:r>
    </w:p>
    <w:p w14:paraId="6E9CDC8F" w14:textId="77777777" w:rsidR="00C97673" w:rsidRDefault="00C97673" w:rsidP="00C9767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E67DE33" w14:textId="77777777" w:rsidR="005E1FC0" w:rsidRPr="005E1FC0" w:rsidRDefault="005E1FC0" w:rsidP="005E1FC0">
      <w:pPr>
        <w:pStyle w:val="ab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1FC0">
        <w:rPr>
          <w:rFonts w:ascii="Times New Roman" w:hAnsi="Times New Roman"/>
          <w:bCs/>
          <w:color w:val="000000"/>
          <w:sz w:val="24"/>
          <w:szCs w:val="24"/>
        </w:rPr>
        <w:t xml:space="preserve">Сивухин Д. В. Общий курс физики. Термодинамика и молекулярная физика //М.: </w:t>
      </w:r>
      <w:proofErr w:type="spellStart"/>
      <w:r w:rsidRPr="005E1FC0">
        <w:rPr>
          <w:rFonts w:ascii="Times New Roman" w:hAnsi="Times New Roman"/>
          <w:bCs/>
          <w:color w:val="000000"/>
          <w:sz w:val="24"/>
          <w:szCs w:val="24"/>
        </w:rPr>
        <w:t>Физматлит</w:t>
      </w:r>
      <w:proofErr w:type="spellEnd"/>
      <w:r w:rsidRPr="005E1FC0">
        <w:rPr>
          <w:rFonts w:ascii="Times New Roman" w:hAnsi="Times New Roman"/>
          <w:bCs/>
          <w:color w:val="000000"/>
          <w:sz w:val="24"/>
          <w:szCs w:val="24"/>
        </w:rPr>
        <w:t>, 2005.–544 с. – 1990.</w:t>
      </w:r>
    </w:p>
    <w:p w14:paraId="702CA1B6" w14:textId="77777777" w:rsidR="005E1FC0" w:rsidRPr="005E1FC0" w:rsidRDefault="005E1FC0" w:rsidP="005E1FC0">
      <w:pPr>
        <w:pStyle w:val="ab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5E1FC0">
        <w:rPr>
          <w:rFonts w:ascii="Times New Roman" w:hAnsi="Times New Roman"/>
          <w:bCs/>
          <w:color w:val="000000"/>
          <w:sz w:val="24"/>
          <w:szCs w:val="24"/>
          <w:lang w:val="en-US"/>
        </w:rPr>
        <w:t>Ashcroft N. W., Mermin N. D. Solid State Physics (Saunders College //New York. – 1976.</w:t>
      </w:r>
    </w:p>
    <w:p w14:paraId="5DBBC52F" w14:textId="66B95CDE" w:rsidR="005E1FC0" w:rsidRPr="005E1FC0" w:rsidRDefault="005E1FC0" w:rsidP="005E1FC0">
      <w:pPr>
        <w:pStyle w:val="ab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5E1FC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Armstrong R. C. R. Byron Bird: The integration of transport phenomena into chemical engineering //AIChE Journal. – 2014. – </w:t>
      </w:r>
      <w:r w:rsidRPr="005E1FC0">
        <w:rPr>
          <w:rFonts w:ascii="Times New Roman" w:hAnsi="Times New Roman"/>
          <w:bCs/>
          <w:color w:val="000000"/>
          <w:sz w:val="24"/>
          <w:szCs w:val="24"/>
        </w:rPr>
        <w:t>Т</w:t>
      </w:r>
      <w:r w:rsidRPr="005E1FC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60. – №. 4. – </w:t>
      </w:r>
      <w:r w:rsidRPr="005E1FC0">
        <w:rPr>
          <w:rFonts w:ascii="Times New Roman" w:hAnsi="Times New Roman"/>
          <w:bCs/>
          <w:color w:val="000000"/>
          <w:sz w:val="24"/>
          <w:szCs w:val="24"/>
        </w:rPr>
        <w:t>С</w:t>
      </w:r>
      <w:r w:rsidRPr="005E1FC0">
        <w:rPr>
          <w:rFonts w:ascii="Times New Roman" w:hAnsi="Times New Roman"/>
          <w:bCs/>
          <w:color w:val="000000"/>
          <w:sz w:val="24"/>
          <w:szCs w:val="24"/>
          <w:lang w:val="en-US"/>
        </w:rPr>
        <w:t>. 1219-1224.</w:t>
      </w:r>
    </w:p>
    <w:sectPr w:rsidR="005E1FC0" w:rsidRPr="005E1FC0">
      <w:pgSz w:w="11906" w:h="16838"/>
      <w:pgMar w:top="1134" w:right="1361" w:bottom="1259" w:left="136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030"/>
    <w:multiLevelType w:val="multilevel"/>
    <w:tmpl w:val="8BF47D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B034AB"/>
    <w:multiLevelType w:val="multilevel"/>
    <w:tmpl w:val="BD1202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E4B57AB"/>
    <w:multiLevelType w:val="multilevel"/>
    <w:tmpl w:val="BD1202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78885401">
    <w:abstractNumId w:val="1"/>
  </w:num>
  <w:num w:numId="2" w16cid:durableId="684403189">
    <w:abstractNumId w:val="0"/>
  </w:num>
  <w:num w:numId="3" w16cid:durableId="822038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FC"/>
    <w:rsid w:val="00022191"/>
    <w:rsid w:val="0016673A"/>
    <w:rsid w:val="00206328"/>
    <w:rsid w:val="00211FBF"/>
    <w:rsid w:val="00302367"/>
    <w:rsid w:val="00416C62"/>
    <w:rsid w:val="004D0C7F"/>
    <w:rsid w:val="005A126F"/>
    <w:rsid w:val="005E1FC0"/>
    <w:rsid w:val="00725EAC"/>
    <w:rsid w:val="009869B9"/>
    <w:rsid w:val="00A723FC"/>
    <w:rsid w:val="00BB0FE3"/>
    <w:rsid w:val="00C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6EDA"/>
  <w15:docId w15:val="{7ED4F258-B090-4991-AA38-9E5BEF46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2E3C26"/>
    <w:rPr>
      <w:color w:val="808080"/>
    </w:rPr>
  </w:style>
  <w:style w:type="character" w:styleId="a4">
    <w:name w:val="Hyperlink"/>
    <w:basedOn w:val="a0"/>
    <w:uiPriority w:val="99"/>
    <w:unhideWhenUsed/>
    <w:rsid w:val="00124DF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qFormat/>
    <w:rsid w:val="00124DF4"/>
    <w:rPr>
      <w:color w:val="605E5C"/>
      <w:shd w:val="clear" w:color="auto" w:fill="E1DFDD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601FAE"/>
    <w:pPr>
      <w:ind w:left="720"/>
      <w:contextualSpacing/>
    </w:pPr>
  </w:style>
  <w:style w:type="numbering" w:customStyle="1" w:styleId="a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E6A05-1763-497F-8626-0167153B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Evg_B</dc:creator>
  <dc:description/>
  <cp:lastModifiedBy>Evg_B</cp:lastModifiedBy>
  <cp:revision>14</cp:revision>
  <dcterms:created xsi:type="dcterms:W3CDTF">2025-04-01T01:25:00Z</dcterms:created>
  <dcterms:modified xsi:type="dcterms:W3CDTF">2025-04-11T10:55:00Z</dcterms:modified>
  <dc:language>ru-RU</dc:language>
</cp:coreProperties>
</file>