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37A0" w14:textId="77777777" w:rsidR="00D76ECE" w:rsidRDefault="003C615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СУЩНОСТЬ</w:t>
      </w:r>
      <w:r w:rsidRPr="00F3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ЗНАЧЕНИЕ И ИСПОЛЬЗОВАНИЕ ПЕРЕВОДЧЕСКОГО КОММЕНТАРИЯ ДЛЯ КОМПЕНСАЦИИ СМЫСЛОВЫХ ПОТЕРЬ ПРИ ПЕРЕВОДЕ ТЕКСТОВ</w:t>
      </w:r>
    </w:p>
    <w:p w14:paraId="6C1D361B" w14:textId="77777777" w:rsidR="00213073" w:rsidRDefault="002130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53161F" w14:textId="15FF5C06" w:rsidR="00D76ECE" w:rsidRDefault="003C6153">
      <w:pPr>
        <w:wordWrap w:val="0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А.</w:t>
      </w:r>
      <w:r w:rsidR="00D2266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А.</w:t>
      </w:r>
      <w:r w:rsidRPr="00F3638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канд</w:t>
      </w:r>
      <w:r w:rsidR="00D2266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филол</w:t>
      </w:r>
      <w:r w:rsidR="00D2266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наук</w:t>
      </w:r>
      <w:r w:rsidRPr="00F3638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доцент</w:t>
      </w:r>
      <w:r w:rsidR="00D2266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,</w:t>
      </w:r>
    </w:p>
    <w:p w14:paraId="46ADAB4E" w14:textId="74B09401" w:rsidR="00D22667" w:rsidRDefault="00D22667" w:rsidP="00D22667">
      <w:pPr>
        <w:wordWrap w:val="0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Агрба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А. В., магистрант</w:t>
      </w:r>
    </w:p>
    <w:p w14:paraId="68BDC043" w14:textId="77777777" w:rsidR="00360242" w:rsidRDefault="00D22667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22667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14:paraId="0D7E48F1" w14:textId="260BFFE5" w:rsidR="00D22667" w:rsidRDefault="00D22667" w:rsidP="00360242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22667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учреждение высшего образования (ФГБОУ ВО) </w:t>
      </w:r>
    </w:p>
    <w:p w14:paraId="6FF0671C" w14:textId="77777777" w:rsidR="00D22667" w:rsidRDefault="00D22667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22667">
        <w:rPr>
          <w:rFonts w:ascii="Times New Roman" w:hAnsi="Times New Roman" w:cs="Times New Roman"/>
          <w:sz w:val="28"/>
          <w:szCs w:val="28"/>
          <w:lang w:val="ru-RU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0CE7C88E" w14:textId="55E50C51" w:rsidR="00D22667" w:rsidRPr="00D22667" w:rsidRDefault="00D22667" w:rsidP="00D22667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-на-Дону, Российская Федерация</w:t>
      </w:r>
      <w:r w:rsidRPr="00F3638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14:paraId="2F77B452" w14:textId="77777777" w:rsidR="00D76ECE" w:rsidRDefault="00D76ECE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48223721" w14:textId="77777777" w:rsidR="00530A7B" w:rsidRDefault="003C6153" w:rsidP="004E315D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Главной задачей переводчика является передача достоверной и полной информации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которая заключена в тексте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>с одного языка на другой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этого он может обращаться к различным 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 xml:space="preserve">переводческим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>икам, таким как, например, подбор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эквивалентов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 xml:space="preserve">а также использовать переводческие трансформации, например, </w:t>
      </w:r>
      <w:r>
        <w:rPr>
          <w:rFonts w:ascii="Times New Roman" w:hAnsi="Times New Roman" w:cs="Times New Roman"/>
          <w:sz w:val="28"/>
          <w:szCs w:val="28"/>
          <w:lang w:val="ru-RU"/>
        </w:rPr>
        <w:t>конкретизаци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антонимическ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>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перевод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 xml:space="preserve">грамматическая </w:t>
      </w:r>
      <w:r>
        <w:rPr>
          <w:rFonts w:ascii="Times New Roman" w:hAnsi="Times New Roman" w:cs="Times New Roman"/>
          <w:sz w:val="28"/>
          <w:szCs w:val="28"/>
          <w:lang w:val="ru-RU"/>
        </w:rPr>
        <w:t>замен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частей речи и др. Однако особое внимание необходимо уделить именно переводческому комментарию. Переводческий комментарий является особым случаем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поскольку его использование предполагает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точно передать смысл высказывания без дополнительной информации для адресата не представляется возможным. Такие ситуации обычно происходят в контексте 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 xml:space="preserve">передачи при переводе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реалий. 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еловек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который ни разу не встречал подобные реалии в своем окружении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воспримет их неоднозначно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же совсем не поймет значение слова</w:t>
      </w:r>
      <w:r w:rsidR="004E315D">
        <w:rPr>
          <w:rFonts w:ascii="Times New Roman" w:hAnsi="Times New Roman" w:cs="Times New Roman"/>
          <w:sz w:val="28"/>
          <w:szCs w:val="28"/>
          <w:lang w:val="ru-RU"/>
        </w:rPr>
        <w:t xml:space="preserve"> или словосочетания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ABEDD4D" w14:textId="1C6AE4F9" w:rsidR="00530A7B" w:rsidRDefault="003C6153" w:rsidP="004E315D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Переводческий комментарий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это отличный от оригинального повествования текст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особым образом выделенный в виде сносок на той же странице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в качестве примечания в конце текста или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внутритекстовых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сообщений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сопровождаемых пометкой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Прим.перев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.» 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 xml:space="preserve">(примечание переводчика) </w:t>
      </w:r>
      <w:r>
        <w:rPr>
          <w:rFonts w:ascii="Times New Roman" w:hAnsi="Times New Roman" w:cs="Times New Roman"/>
          <w:sz w:val="28"/>
          <w:szCs w:val="28"/>
          <w:lang w:val="ru-RU"/>
        </w:rPr>
        <w:t>или инициалами имени и фамилии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котором содержится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разъяснения переводчика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касающиеся какого-либо фрагмента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текста целиком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трудных для восприятия реалий 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. 2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То есть 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примечание переводчика представляет собой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вторичный текст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задача которого заключается в расшифровке и объяснении основного содержания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инокультурного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текста 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[2,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. 2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 Переводческий комментарий может быть добавлен для описания особенностей культуры того или иного общества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включая ритуалы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одежду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праздники и многое другое. Подобный прием помогает избежать смысловы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потер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углубиться в понимание контекс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описанного автором в переведенном фрагменте 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638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. 2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FD8EC03" w14:textId="41C895C8" w:rsidR="00D76ECE" w:rsidRPr="00F36386" w:rsidRDefault="003C6153" w:rsidP="004E315D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Переводческие комментарии могут применяться в текстах любого жанра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будь то художественная литература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ru-RU"/>
        </w:rPr>
        <w:t>научные труды. Все зависит от сложности данных текстов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, насыщенности их, например, реалиями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необходимости в уточнении и объяснении определенных аспектов. Бывает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вместе с переводческим комментарием в произведение добавляется введение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послесловие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которые раскрывают особенности стиля оригинального текста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написанного автором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контекст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также 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 xml:space="preserve">используемую в научных работах </w:t>
      </w:r>
      <w:r>
        <w:rPr>
          <w:rFonts w:ascii="Times New Roman" w:hAnsi="Times New Roman" w:cs="Times New Roman"/>
          <w:sz w:val="28"/>
          <w:szCs w:val="28"/>
          <w:lang w:val="ru-RU"/>
        </w:rPr>
        <w:t>термин</w:t>
      </w:r>
      <w:r w:rsidR="00530A7B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логию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свойственную только для конкретного исследователя 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 xml:space="preserve">[2, </w:t>
      </w:r>
      <w:r w:rsidR="00C3404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 xml:space="preserve"> 3]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C5B42E" w14:textId="6EBE68B6" w:rsidR="00D76ECE" w:rsidRPr="00F36386" w:rsidRDefault="003C6153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Примером применения переводческого комментария в художественном произведении может послужить эпизод  главы </w:t>
      </w:r>
      <w:r w:rsidR="00C34047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ru-RU"/>
        </w:rPr>
        <w:t>«Шизофрения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и было сказано»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произведении М.А. Булгакова «Мастер и Маргарита»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который попытались интерпретировать на английский язык Ричард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Певир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Лариса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Волохонская</w:t>
      </w:r>
      <w:proofErr w:type="spellEnd"/>
      <w:r w:rsidRPr="00F3638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5B0CB1" w14:textId="7B7C4F5D" w:rsidR="00D76ECE" w:rsidRPr="00A4627F" w:rsidRDefault="003C6153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6E1">
        <w:rPr>
          <w:rFonts w:ascii="SimSun" w:eastAsia="SimSun" w:hAnsi="SimSun" w:cs="SimSun" w:hint="eastAsia"/>
          <w:i/>
          <w:iCs/>
          <w:sz w:val="28"/>
          <w:szCs w:val="28"/>
          <w:lang w:val="ru-RU"/>
        </w:rPr>
        <w:t>－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Так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так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так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E46E1">
        <w:rPr>
          <w:rFonts w:ascii="SimSun" w:eastAsia="SimSun" w:hAnsi="SimSun" w:cs="SimSun" w:hint="eastAsia"/>
          <w:i/>
          <w:iCs/>
          <w:sz w:val="28"/>
          <w:szCs w:val="28"/>
          <w:lang w:val="ru-RU"/>
        </w:rPr>
        <w:t>－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сказал доктор и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повернувшись к Ивану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добавил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E46E1">
        <w:rPr>
          <w:rFonts w:ascii="SimSun" w:eastAsia="SimSun" w:hAnsi="SimSun" w:cs="SimSun" w:hint="eastAsia"/>
          <w:i/>
          <w:iCs/>
          <w:sz w:val="28"/>
          <w:szCs w:val="28"/>
          <w:lang w:val="ru-RU"/>
        </w:rPr>
        <w:t>－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Здравствуйте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r w:rsidRPr="00F36386">
        <w:rPr>
          <w:rFonts w:ascii="SimSun" w:eastAsia="SimSun" w:hAnsi="SimSun" w:cs="SimSun" w:hint="eastAsia"/>
          <w:i/>
          <w:iCs/>
          <w:sz w:val="28"/>
          <w:szCs w:val="28"/>
          <w:lang w:val="ru-RU"/>
        </w:rPr>
        <w:t>－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Здорово</w:t>
      </w:r>
      <w:r w:rsidRPr="00F36386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вредитель! </w:t>
      </w:r>
      <w:r w:rsidRPr="003E46E1">
        <w:rPr>
          <w:rFonts w:ascii="SimSun" w:eastAsia="SimSun" w:hAnsi="SimSun" w:cs="SimSun" w:hint="eastAsia"/>
          <w:i/>
          <w:iCs/>
          <w:sz w:val="28"/>
          <w:szCs w:val="28"/>
          <w:lang w:val="ru-RU"/>
        </w:rPr>
        <w:t>－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злобно и громко ответил Иван</w:t>
      </w:r>
      <w:r w:rsidRPr="003C6153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="007B7E81" w:rsidRPr="003C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7E81" w:rsidRPr="003C6153">
        <w:rPr>
          <w:rFonts w:ascii="Times New Roman" w:hAnsi="Times New Roman" w:cs="Times New Roman"/>
          <w:sz w:val="28"/>
          <w:szCs w:val="28"/>
        </w:rPr>
        <w:t>[</w:t>
      </w:r>
      <w:r w:rsidR="00D85B41" w:rsidRPr="003C615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B7E81" w:rsidRPr="003C6153">
        <w:rPr>
          <w:rFonts w:ascii="Times New Roman" w:hAnsi="Times New Roman" w:cs="Times New Roman"/>
          <w:sz w:val="28"/>
          <w:szCs w:val="28"/>
        </w:rPr>
        <w:t>]</w:t>
      </w:r>
      <w:r w:rsidR="00A462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3F8EA6" w14:textId="1C3DB9DF" w:rsidR="003E46E1" w:rsidRPr="00A4627F" w:rsidRDefault="003E46E1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153">
        <w:rPr>
          <w:rFonts w:ascii="Times New Roman" w:hAnsi="Times New Roman" w:cs="Times New Roman"/>
          <w:i/>
          <w:iCs/>
          <w:sz w:val="28"/>
          <w:szCs w:val="28"/>
        </w:rPr>
        <w:t xml:space="preserve">‘So, so, so,' the doctor said and, turning to Ivan, added: 'Hello there!' </w:t>
      </w:r>
      <w:r w:rsidRPr="003C6153">
        <w:rPr>
          <w:rFonts w:ascii="SimSun" w:eastAsia="SimSun" w:hAnsi="SimSun" w:cs="SimSun" w:hint="eastAsia"/>
          <w:i/>
          <w:iCs/>
          <w:sz w:val="28"/>
          <w:szCs w:val="28"/>
        </w:rPr>
        <w:t>－</w:t>
      </w:r>
      <w:r w:rsidRPr="003C6153">
        <w:rPr>
          <w:rFonts w:ascii="Times New Roman" w:hAnsi="Times New Roman" w:cs="Times New Roman"/>
          <w:i/>
          <w:iCs/>
          <w:sz w:val="28"/>
          <w:szCs w:val="28"/>
        </w:rPr>
        <w:t xml:space="preserve"> 'Greetings, saboteur! Ivan replied spitefully and loudly</w:t>
      </w:r>
      <w:r w:rsidRPr="003C6153">
        <w:rPr>
          <w:rFonts w:ascii="Times New Roman" w:hAnsi="Times New Roman" w:cs="Times New Roman"/>
          <w:sz w:val="28"/>
          <w:szCs w:val="28"/>
        </w:rPr>
        <w:t xml:space="preserve"> </w:t>
      </w:r>
      <w:r w:rsidR="007B7E81" w:rsidRPr="003C6153">
        <w:rPr>
          <w:rFonts w:ascii="Times New Roman" w:hAnsi="Times New Roman" w:cs="Times New Roman"/>
          <w:sz w:val="28"/>
          <w:szCs w:val="28"/>
        </w:rPr>
        <w:t>[</w:t>
      </w:r>
      <w:r w:rsidR="00D85B41" w:rsidRPr="003C615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B7E81" w:rsidRPr="003C6153">
        <w:rPr>
          <w:rFonts w:ascii="Times New Roman" w:hAnsi="Times New Roman" w:cs="Times New Roman"/>
          <w:sz w:val="28"/>
          <w:szCs w:val="28"/>
        </w:rPr>
        <w:t>]</w:t>
      </w:r>
      <w:r w:rsidR="00A462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E6C93F" w14:textId="39C8EC1D" w:rsidR="003E46E1" w:rsidRPr="003E46E1" w:rsidRDefault="003E46E1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Переводчики сочли необходимым сопроводить данный перевод следующим комментарием:</w:t>
      </w:r>
    </w:p>
    <w:p w14:paraId="20DD670B" w14:textId="6C16EB00" w:rsidR="00D76ECE" w:rsidRPr="00F36386" w:rsidRDefault="003C6153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6E1">
        <w:rPr>
          <w:rFonts w:ascii="Times New Roman" w:hAnsi="Times New Roman" w:cs="Times New Roman"/>
          <w:i/>
          <w:iCs/>
          <w:sz w:val="28"/>
          <w:szCs w:val="28"/>
        </w:rPr>
        <w:t xml:space="preserve">Saboteur: Here and a little further on Ivan uses standard terms from Soviet mass </w:t>
      </w:r>
      <w:proofErr w:type="spellStart"/>
      <w:r w:rsidRPr="003E46E1">
        <w:rPr>
          <w:rFonts w:ascii="Times New Roman" w:hAnsi="Times New Roman" w:cs="Times New Roman"/>
          <w:i/>
          <w:iCs/>
          <w:sz w:val="28"/>
          <w:szCs w:val="28"/>
        </w:rPr>
        <w:t>compaigns</w:t>
      </w:r>
      <w:proofErr w:type="spellEnd"/>
      <w:r w:rsidRPr="003E46E1">
        <w:rPr>
          <w:rFonts w:ascii="Times New Roman" w:hAnsi="Times New Roman" w:cs="Times New Roman"/>
          <w:i/>
          <w:iCs/>
          <w:sz w:val="28"/>
          <w:szCs w:val="28"/>
        </w:rPr>
        <w:t xml:space="preserve"> against 'enemies of the people'. Anyone thought to be working against the aims of the ruling party could be denounced and arrested as a saboteur </w:t>
      </w:r>
      <w:r w:rsidRPr="00F3638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Р</w:t>
      </w:r>
      <w:r w:rsidRPr="00F3638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П</w:t>
      </w:r>
      <w:r w:rsidRPr="00F3638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F363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Л</w:t>
      </w:r>
      <w:r w:rsidRPr="00F3638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E46E1">
        <w:rPr>
          <w:rFonts w:ascii="Times New Roman" w:hAnsi="Times New Roman" w:cs="Times New Roman"/>
          <w:i/>
          <w:iCs/>
          <w:sz w:val="28"/>
          <w:szCs w:val="28"/>
          <w:lang w:val="ru-RU"/>
        </w:rPr>
        <w:t>В</w:t>
      </w:r>
      <w:r w:rsidRPr="00F36386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4749D26D" w14:textId="786F56B2" w:rsidR="00D76ECE" w:rsidRDefault="00366A9E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Переводчики дают пояснение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лексическая единица </w:t>
      </w:r>
      <w:r w:rsidRPr="00B25B48">
        <w:rPr>
          <w:rFonts w:ascii="Times New Roman" w:hAnsi="Times New Roman" w:cs="Times New Roman"/>
          <w:i/>
          <w:iCs/>
          <w:sz w:val="28"/>
          <w:szCs w:val="28"/>
        </w:rPr>
        <w:t>saboteur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подразумевает человека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который идет против политики советской партии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чьи взгляды не 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соответствуют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принятой 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идеологии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английском языке 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слово с полным семантическим соответствием отсутствует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поэтому 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переводческое решение предлагает использовать лексическую единицу, максимально связанную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либо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тайно проводи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мым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дело</w:t>
      </w:r>
      <w:r w:rsidR="00232947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Перевод был бы неточным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бы слово </w:t>
      </w:r>
      <w:r w:rsidRPr="007B7E81">
        <w:rPr>
          <w:rFonts w:ascii="Times New Roman" w:hAnsi="Times New Roman" w:cs="Times New Roman"/>
          <w:i/>
          <w:iCs/>
          <w:sz w:val="28"/>
          <w:szCs w:val="28"/>
          <w:lang w:val="ru-RU"/>
        </w:rPr>
        <w:t>вредитель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было переведено буквально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лексической единицей с негативной коннотацией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например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7E81">
        <w:rPr>
          <w:rFonts w:ascii="Times New Roman" w:hAnsi="Times New Roman" w:cs="Times New Roman"/>
          <w:i/>
          <w:iCs/>
          <w:sz w:val="28"/>
          <w:szCs w:val="28"/>
        </w:rPr>
        <w:t>quack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это сделал в своей версии перевода Майкл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Гленни</w:t>
      </w:r>
      <w:proofErr w:type="spellEnd"/>
      <w:r w:rsidR="007B7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7E81" w:rsidRPr="003C615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85B41" w:rsidRPr="003C615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B7E81" w:rsidRPr="003C615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3C615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Данный термин не передает мрачность той эпохи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дает отсылку к обвинениям во вредительстве</w:t>
      </w:r>
      <w:r w:rsidR="007B7E81" w:rsidRPr="007B7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и постоянным донесениям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которые были широко распространены во времена сталинских репрессий в СССР. </w:t>
      </w:r>
    </w:p>
    <w:p w14:paraId="01E7B912" w14:textId="62CB759C" w:rsidR="00D76ECE" w:rsidRDefault="003C6153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вышесказанного можно сделать вывод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наличие переводческого комментария позволяет более глубоко окунуться читателю в детали происходящего в исходном тексте. Подобные пояснения дадут более правдоподобную картину и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ложенной информации для читателя и расширят его кругозор 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 xml:space="preserve">[4,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3]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5D6D2C" w14:textId="0917A965" w:rsidR="00D76ECE" w:rsidRDefault="003C6153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переводческий комментарий является одним из эффективных способов компенсации смысловых потерь при переводе текстов любого жанра.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Переводчикам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еобходимо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комментировать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именно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ситуации в тексте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которые действительно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 xml:space="preserve">в этом </w:t>
      </w:r>
      <w:r>
        <w:rPr>
          <w:rFonts w:ascii="Times New Roman" w:hAnsi="Times New Roman" w:cs="Times New Roman"/>
          <w:sz w:val="28"/>
          <w:szCs w:val="28"/>
          <w:lang w:val="ru-RU"/>
        </w:rPr>
        <w:t>нуждаются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ведь перенасыщение и чрезмерное использование комментариев может также и навредить читателю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например при прочтении 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 xml:space="preserve">произведений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художественной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литературы</w:t>
      </w:r>
      <w:r w:rsidRPr="00F3638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нужно прочувствовать атмосферу. Переводческий комментарий позволяет расширить культурологические знания и получить точную информацию из текста</w:t>
      </w:r>
      <w:r w:rsidR="007B7E81">
        <w:rPr>
          <w:rFonts w:ascii="Times New Roman" w:hAnsi="Times New Roman" w:cs="Times New Roman"/>
          <w:sz w:val="28"/>
          <w:szCs w:val="28"/>
          <w:lang w:val="ru-RU"/>
        </w:rPr>
        <w:t>, переведенного с одного языка на другой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361A04" w14:textId="77777777" w:rsidR="00D76ECE" w:rsidRPr="00F36386" w:rsidRDefault="00D76ECE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04058E" w14:textId="68E8E9F7" w:rsidR="00D76ECE" w:rsidRPr="007B7E81" w:rsidRDefault="007B7E81">
      <w:pPr>
        <w:spacing w:line="360" w:lineRule="auto"/>
        <w:ind w:leftChars="100" w:left="200"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7E8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использованных источников</w:t>
      </w:r>
    </w:p>
    <w:p w14:paraId="24661BDF" w14:textId="7231D883" w:rsidR="00D76ECE" w:rsidRDefault="009C20A9" w:rsidP="009C20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Заплатин, В.Е. Переводческий комментарий как один из способов компенсации смысловых потерь при переводе / В.Е. Заплатин, О. Снигирева. – Текст : электронный // Russian </w:t>
      </w:r>
      <w:proofErr w:type="spellStart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Linguistic</w:t>
      </w:r>
      <w:proofErr w:type="spellEnd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Bulletin. – 2024. – № 4 (52). – URL: https://cyberleninka.ru/article/n/perevodcheskiy-kommentariy-kak-odin-iz-sposobov-kompensatsii-smyslovyh-poter-pri-perevode (дата обращения: 08.02.2026).</w:t>
      </w:r>
    </w:p>
    <w:p w14:paraId="1FABBB78" w14:textId="69BA672F" w:rsidR="00D76ECE" w:rsidRDefault="009C20A9" w:rsidP="009C20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Папулова</w:t>
      </w:r>
      <w:proofErr w:type="spellEnd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, Ю.К. Переводческий комментарий как особый вид </w:t>
      </w:r>
      <w:proofErr w:type="spellStart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метатекста</w:t>
      </w:r>
      <w:proofErr w:type="spellEnd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/ Ю.К. </w:t>
      </w:r>
      <w:proofErr w:type="spellStart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Папулова</w:t>
      </w:r>
      <w:proofErr w:type="spellEnd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. – Текст : электронный // Вестник ПНИПУ. Проблемы языкознания и педагогики. – 2015. – № 1 (11). – URL: https://cyberleninka.ru/article/n/perevodcheskiy-kommentariy-kak-osobyy-vid-metateksta (дата обращения: 08.02.2026).</w:t>
      </w:r>
    </w:p>
    <w:p w14:paraId="0A64AD8D" w14:textId="61B87DE2" w:rsidR="00D76ECE" w:rsidRDefault="009C20A9" w:rsidP="009C20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Раренко</w:t>
      </w:r>
      <w:proofErr w:type="spellEnd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, М.Б. Переводческий комментарий / М.Б. </w:t>
      </w:r>
      <w:proofErr w:type="spellStart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Раренко</w:t>
      </w:r>
      <w:proofErr w:type="spellEnd"/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. – Текст : электронный // Основные понятия переводоведения (отечественный опыт). Терминологический словарь-справочник. – 2010. – № 2010. – URL: https://cyberleninka.ru/article/n/perevodcheskiy-kommentariy (дата обращения: 01.12.2025).</w:t>
      </w:r>
    </w:p>
    <w:p w14:paraId="3CA28E8A" w14:textId="1CBE407B" w:rsidR="00D76ECE" w:rsidRPr="00D85B41" w:rsidRDefault="009C20A9" w:rsidP="009C20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0A9">
        <w:rPr>
          <w:rFonts w:ascii="Times New Roman" w:eastAsia="sans-serif" w:hAnsi="Times New Roman" w:cs="Times New Roman"/>
          <w:sz w:val="28"/>
          <w:szCs w:val="28"/>
          <w:lang w:val="ru-RU"/>
        </w:rPr>
        <w:t>Алексеева, В.Н. Переводческий комментарий в художественном тексте / В.Н. Алексеева. – Текст : электронный // Ярославский педагогический вестник. – 2012. – № 4. – URL: https://cyberleninka.ru/article/n/perevodcheskiy-kommentariy-v-hudozhestvennom-tekste (дата обращения: 01.12.2025).</w:t>
      </w:r>
    </w:p>
    <w:p w14:paraId="477B3ECF" w14:textId="5F52DF6C" w:rsidR="00D85B41" w:rsidRPr="00F36386" w:rsidRDefault="009C20A9" w:rsidP="009C20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Булгаков, М.А. Мастер и Маргарита / М.А. Булгаков. – Текст : непосредственный. – Москва : </w:t>
      </w:r>
      <w:r>
        <w:rPr>
          <w:rFonts w:ascii="Times New Roman" w:hAnsi="Times New Roman" w:cs="Times New Roman"/>
          <w:sz w:val="28"/>
          <w:szCs w:val="28"/>
          <w:lang w:val="ru-RU"/>
        </w:rPr>
        <w:t>Эксмо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2024. 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480 с.</w:t>
      </w:r>
    </w:p>
    <w:p w14:paraId="007F1A96" w14:textId="6079C154" w:rsidR="00F36386" w:rsidRPr="009C20A9" w:rsidRDefault="009C20A9" w:rsidP="009C20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20A9">
        <w:rPr>
          <w:rFonts w:ascii="Times New Roman" w:hAnsi="Times New Roman" w:cs="Times New Roman"/>
          <w:sz w:val="28"/>
          <w:szCs w:val="28"/>
        </w:rPr>
        <w:t>Bulgakov</w:t>
      </w:r>
      <w:proofErr w:type="spellEnd"/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C20A9">
        <w:rPr>
          <w:rFonts w:ascii="Times New Roman" w:hAnsi="Times New Roman" w:cs="Times New Roman"/>
          <w:sz w:val="28"/>
          <w:szCs w:val="28"/>
        </w:rPr>
        <w:t>M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C20A9">
        <w:rPr>
          <w:rFonts w:ascii="Times New Roman" w:hAnsi="Times New Roman" w:cs="Times New Roman"/>
          <w:sz w:val="28"/>
          <w:szCs w:val="28"/>
        </w:rPr>
        <w:t>The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Master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and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Margarita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9C20A9">
        <w:rPr>
          <w:rFonts w:ascii="Times New Roman" w:hAnsi="Times New Roman" w:cs="Times New Roman"/>
          <w:sz w:val="28"/>
          <w:szCs w:val="28"/>
        </w:rPr>
        <w:t>M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9C20A9">
        <w:rPr>
          <w:rFonts w:ascii="Times New Roman" w:hAnsi="Times New Roman" w:cs="Times New Roman"/>
          <w:sz w:val="28"/>
          <w:szCs w:val="28"/>
        </w:rPr>
        <w:t>Bulgakov</w:t>
      </w:r>
      <w:proofErr w:type="spellEnd"/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translated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from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the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Russian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language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by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R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C20A9">
        <w:rPr>
          <w:rFonts w:ascii="Times New Roman" w:hAnsi="Times New Roman" w:cs="Times New Roman"/>
          <w:sz w:val="28"/>
          <w:szCs w:val="28"/>
        </w:rPr>
        <w:t>Pevear</w:t>
      </w:r>
      <w:proofErr w:type="spellEnd"/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C20A9">
        <w:rPr>
          <w:rFonts w:ascii="Times New Roman" w:hAnsi="Times New Roman" w:cs="Times New Roman"/>
          <w:sz w:val="28"/>
          <w:szCs w:val="28"/>
        </w:rPr>
        <w:t>L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C20A9">
        <w:rPr>
          <w:rFonts w:ascii="Times New Roman" w:hAnsi="Times New Roman" w:cs="Times New Roman"/>
          <w:sz w:val="28"/>
          <w:szCs w:val="28"/>
        </w:rPr>
        <w:t>Volokhonsky</w:t>
      </w:r>
      <w:proofErr w:type="spellEnd"/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. – Текст : непосредственный. – </w:t>
      </w:r>
      <w:r w:rsidRPr="009C20A9">
        <w:rPr>
          <w:rFonts w:ascii="Times New Roman" w:hAnsi="Times New Roman" w:cs="Times New Roman"/>
          <w:sz w:val="28"/>
          <w:szCs w:val="28"/>
        </w:rPr>
        <w:t>London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9C20A9">
        <w:rPr>
          <w:rFonts w:ascii="Times New Roman" w:hAnsi="Times New Roman" w:cs="Times New Roman"/>
          <w:sz w:val="28"/>
          <w:szCs w:val="28"/>
        </w:rPr>
        <w:t>Penguin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</w:rPr>
        <w:t>Books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>, 1997.</w:t>
      </w:r>
    </w:p>
    <w:p w14:paraId="3B497772" w14:textId="767FAB5F" w:rsidR="00D76ECE" w:rsidRPr="009C20A9" w:rsidRDefault="009C20A9" w:rsidP="0050520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0A9">
        <w:rPr>
          <w:rFonts w:ascii="Times New Roman" w:hAnsi="Times New Roman" w:cs="Times New Roman"/>
          <w:sz w:val="28"/>
          <w:szCs w:val="28"/>
        </w:rPr>
        <w:lastRenderedPageBreak/>
        <w:t>Bulgakov</w:t>
      </w:r>
      <w:proofErr w:type="spellEnd"/>
      <w:r w:rsidRPr="009C20A9">
        <w:rPr>
          <w:rFonts w:ascii="Times New Roman" w:hAnsi="Times New Roman" w:cs="Times New Roman"/>
          <w:sz w:val="28"/>
          <w:szCs w:val="28"/>
        </w:rPr>
        <w:t xml:space="preserve">, M. The Master and Margarita / M. </w:t>
      </w:r>
      <w:proofErr w:type="spellStart"/>
      <w:proofErr w:type="gramStart"/>
      <w:r w:rsidRPr="009C20A9">
        <w:rPr>
          <w:rFonts w:ascii="Times New Roman" w:hAnsi="Times New Roman" w:cs="Times New Roman"/>
          <w:sz w:val="28"/>
          <w:szCs w:val="28"/>
        </w:rPr>
        <w:t>Bulgakov</w:t>
      </w:r>
      <w:proofErr w:type="spellEnd"/>
      <w:r w:rsidRPr="009C20A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C20A9">
        <w:rPr>
          <w:rFonts w:ascii="Times New Roman" w:hAnsi="Times New Roman" w:cs="Times New Roman"/>
          <w:sz w:val="28"/>
          <w:szCs w:val="28"/>
        </w:rPr>
        <w:t xml:space="preserve"> translated from the Russian language by M. Glenny. – </w:t>
      </w:r>
      <w:proofErr w:type="gramStart"/>
      <w:r w:rsidRPr="009C20A9">
        <w:rPr>
          <w:rFonts w:ascii="Times New Roman" w:hAnsi="Times New Roman" w:cs="Times New Roman"/>
          <w:sz w:val="28"/>
          <w:szCs w:val="28"/>
          <w:lang w:val="ru-RU"/>
        </w:rPr>
        <w:t>Текст</w:t>
      </w:r>
      <w:r w:rsidRPr="009C20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20A9">
        <w:rPr>
          <w:rFonts w:ascii="Times New Roman" w:hAnsi="Times New Roman" w:cs="Times New Roman"/>
          <w:sz w:val="28"/>
          <w:szCs w:val="28"/>
        </w:rPr>
        <w:t xml:space="preserve"> </w:t>
      </w:r>
      <w:r w:rsidRPr="009C20A9">
        <w:rPr>
          <w:rFonts w:ascii="Times New Roman" w:hAnsi="Times New Roman" w:cs="Times New Roman"/>
          <w:sz w:val="28"/>
          <w:szCs w:val="28"/>
          <w:lang w:val="ru-RU"/>
        </w:rPr>
        <w:t>непосредственный</w:t>
      </w:r>
      <w:r w:rsidRPr="009C20A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9C20A9">
        <w:rPr>
          <w:rFonts w:ascii="Times New Roman" w:hAnsi="Times New Roman" w:cs="Times New Roman"/>
          <w:sz w:val="28"/>
          <w:szCs w:val="28"/>
        </w:rPr>
        <w:t>London :</w:t>
      </w:r>
      <w:proofErr w:type="gramEnd"/>
      <w:r w:rsidRPr="009C20A9">
        <w:rPr>
          <w:rFonts w:ascii="Times New Roman" w:hAnsi="Times New Roman" w:cs="Times New Roman"/>
          <w:sz w:val="28"/>
          <w:szCs w:val="28"/>
        </w:rPr>
        <w:t xml:space="preserve"> Collins and Harvill Press, 1967. </w:t>
      </w:r>
    </w:p>
    <w:p w14:paraId="2F3F6C82" w14:textId="77777777" w:rsidR="00D76ECE" w:rsidRPr="009C20A9" w:rsidRDefault="00D76ECE" w:rsidP="009C20A9">
      <w:pPr>
        <w:spacing w:line="360" w:lineRule="auto"/>
        <w:ind w:leftChars="100" w:left="200" w:firstLine="706"/>
        <w:jc w:val="both"/>
        <w:rPr>
          <w:rFonts w:ascii="Times New Roman" w:hAnsi="Times New Roman" w:cs="Times New Roman"/>
          <w:sz w:val="28"/>
          <w:szCs w:val="28"/>
        </w:rPr>
      </w:pPr>
    </w:p>
    <w:sectPr w:rsidR="00D76ECE" w:rsidRPr="009C20A9"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-serif">
    <w:altName w:val="Segoe Print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F6B035"/>
    <w:multiLevelType w:val="singleLevel"/>
    <w:tmpl w:val="A5F6B035"/>
    <w:lvl w:ilvl="0">
      <w:start w:val="1"/>
      <w:numFmt w:val="decimal"/>
      <w:suff w:val="space"/>
      <w:lvlText w:val="%1)"/>
      <w:lvlJc w:val="left"/>
    </w:lvl>
  </w:abstractNum>
  <w:num w:numId="1" w16cid:durableId="10227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B32393"/>
    <w:rsid w:val="00213073"/>
    <w:rsid w:val="00232947"/>
    <w:rsid w:val="00360242"/>
    <w:rsid w:val="00366A9E"/>
    <w:rsid w:val="003C6153"/>
    <w:rsid w:val="003E46E1"/>
    <w:rsid w:val="004E315D"/>
    <w:rsid w:val="00524E63"/>
    <w:rsid w:val="00530A7B"/>
    <w:rsid w:val="00763214"/>
    <w:rsid w:val="007B7E81"/>
    <w:rsid w:val="009C20A9"/>
    <w:rsid w:val="00A4627F"/>
    <w:rsid w:val="00B25B48"/>
    <w:rsid w:val="00C34047"/>
    <w:rsid w:val="00D22667"/>
    <w:rsid w:val="00D76ECE"/>
    <w:rsid w:val="00D85B41"/>
    <w:rsid w:val="00F36386"/>
    <w:rsid w:val="02CB0EFB"/>
    <w:rsid w:val="07FB6505"/>
    <w:rsid w:val="0944373B"/>
    <w:rsid w:val="0B4153D8"/>
    <w:rsid w:val="118351F6"/>
    <w:rsid w:val="14EA645D"/>
    <w:rsid w:val="15EA2E32"/>
    <w:rsid w:val="15FE2FB6"/>
    <w:rsid w:val="1A6E333F"/>
    <w:rsid w:val="208E084F"/>
    <w:rsid w:val="23384E33"/>
    <w:rsid w:val="262163F2"/>
    <w:rsid w:val="31E07624"/>
    <w:rsid w:val="37475AE1"/>
    <w:rsid w:val="39973FDE"/>
    <w:rsid w:val="40BE25E5"/>
    <w:rsid w:val="426651DA"/>
    <w:rsid w:val="48B32393"/>
    <w:rsid w:val="49FE7A7B"/>
    <w:rsid w:val="4A253D0C"/>
    <w:rsid w:val="4E944C60"/>
    <w:rsid w:val="57662A6C"/>
    <w:rsid w:val="5B4A1A95"/>
    <w:rsid w:val="624F2E59"/>
    <w:rsid w:val="64B6060F"/>
    <w:rsid w:val="70DD1E39"/>
    <w:rsid w:val="74447D88"/>
    <w:rsid w:val="74460B51"/>
    <w:rsid w:val="7482713C"/>
    <w:rsid w:val="7A394D5E"/>
    <w:rsid w:val="7BC76969"/>
    <w:rsid w:val="7C7F5982"/>
    <w:rsid w:val="7EE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4B278"/>
  <w15:docId w15:val="{8578A478-3F82-A546-AF04-997FA54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2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CD22-FBF0-4A8D-8C0C-99B844C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Агрба</dc:creator>
  <cp:lastModifiedBy>Microsoft Office User</cp:lastModifiedBy>
  <cp:revision>7</cp:revision>
  <dcterms:created xsi:type="dcterms:W3CDTF">2026-02-17T08:51:00Z</dcterms:created>
  <dcterms:modified xsi:type="dcterms:W3CDTF">2026-02-18T20:14:00Z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1DF3E370953D42DAB081D009B7AC2D27_11</vt:lpwstr>
  </property>
</Properties>
</file>