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9" w:rsidRPr="00DC77C5" w:rsidRDefault="00597129" w:rsidP="00A64B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7C5">
        <w:rPr>
          <w:rFonts w:ascii="Times New Roman" w:hAnsi="Times New Roman" w:cs="Times New Roman"/>
          <w:sz w:val="24"/>
          <w:szCs w:val="24"/>
        </w:rPr>
        <w:t xml:space="preserve">Ивашкова Евгения Игоревна, </w:t>
      </w:r>
      <w:r w:rsidRPr="00DC77C5">
        <w:rPr>
          <w:rFonts w:ascii="Times New Roman" w:hAnsi="Times New Roman" w:cs="Times New Roman"/>
          <w:bCs/>
          <w:sz w:val="24"/>
          <w:szCs w:val="24"/>
        </w:rPr>
        <w:t xml:space="preserve">«Неоднозначность обработки опытных откачек на участках разведки </w:t>
      </w:r>
      <w:proofErr w:type="spellStart"/>
      <w:r w:rsidRPr="00DC77C5">
        <w:rPr>
          <w:rFonts w:ascii="Times New Roman" w:hAnsi="Times New Roman" w:cs="Times New Roman"/>
          <w:bCs/>
          <w:sz w:val="24"/>
          <w:szCs w:val="24"/>
        </w:rPr>
        <w:t>Нерльского</w:t>
      </w:r>
      <w:proofErr w:type="spellEnd"/>
      <w:r w:rsidRPr="00DC77C5">
        <w:rPr>
          <w:rFonts w:ascii="Times New Roman" w:hAnsi="Times New Roman" w:cs="Times New Roman"/>
          <w:bCs/>
          <w:sz w:val="24"/>
          <w:szCs w:val="24"/>
        </w:rPr>
        <w:t xml:space="preserve"> месторождения подземных вод», 4 курс, кафедра гидрогеологии, научный руководитель – </w:t>
      </w:r>
      <w:r w:rsidR="002B6AA1">
        <w:rPr>
          <w:rFonts w:ascii="Times New Roman" w:hAnsi="Times New Roman" w:cs="Times New Roman"/>
          <w:bCs/>
          <w:sz w:val="24"/>
          <w:szCs w:val="24"/>
        </w:rPr>
        <w:t xml:space="preserve">профессор </w:t>
      </w:r>
      <w:r w:rsidRPr="00DC77C5">
        <w:rPr>
          <w:rFonts w:ascii="Times New Roman" w:hAnsi="Times New Roman" w:cs="Times New Roman"/>
          <w:bCs/>
          <w:sz w:val="24"/>
          <w:szCs w:val="24"/>
        </w:rPr>
        <w:t>Гриневский Сергей Олегович</w:t>
      </w:r>
    </w:p>
    <w:p w:rsidR="002B6AA1" w:rsidRDefault="002B6AA1" w:rsidP="00A64BEE">
      <w:pPr>
        <w:pStyle w:val="a6"/>
        <w:spacing w:line="240" w:lineRule="auto"/>
        <w:ind w:firstLine="851"/>
      </w:pPr>
      <w:r>
        <w:t xml:space="preserve">В работе рассматриваются особенности интерпретации опытных откачек из </w:t>
      </w:r>
      <w:r w:rsidRPr="00DC77C5">
        <w:t>четвертичн</w:t>
      </w:r>
      <w:r>
        <w:t>ого</w:t>
      </w:r>
      <w:r w:rsidRPr="00DC77C5">
        <w:t xml:space="preserve"> аллювиально-флювиогляциальн</w:t>
      </w:r>
      <w:r>
        <w:t>ого водоносного</w:t>
      </w:r>
      <w:r w:rsidRPr="00DC77C5">
        <w:t xml:space="preserve"> комплекс</w:t>
      </w:r>
      <w:r>
        <w:t xml:space="preserve">а на </w:t>
      </w:r>
      <w:r w:rsidR="001C7422" w:rsidRPr="00DC77C5">
        <w:t>Нерльско</w:t>
      </w:r>
      <w:r>
        <w:t>м</w:t>
      </w:r>
      <w:r w:rsidR="001C7422" w:rsidRPr="00DC77C5">
        <w:t xml:space="preserve"> месторождени</w:t>
      </w:r>
      <w:r>
        <w:t>и</w:t>
      </w:r>
      <w:r w:rsidR="001C7422" w:rsidRPr="00DC77C5">
        <w:t xml:space="preserve"> подземных вод.</w:t>
      </w:r>
      <w:r w:rsidR="00DC77C5" w:rsidRPr="00DC77C5">
        <w:t xml:space="preserve"> </w:t>
      </w:r>
      <w:r w:rsidR="00E7012E">
        <w:t xml:space="preserve">Водносный </w:t>
      </w:r>
      <w:r w:rsidR="00DC77C5" w:rsidRPr="00DC77C5">
        <w:t xml:space="preserve">комплекс </w:t>
      </w:r>
      <w:r w:rsidR="00E7012E">
        <w:t xml:space="preserve">включает </w:t>
      </w:r>
      <w:r w:rsidR="00DC77C5" w:rsidRPr="00DC77C5">
        <w:t>сетуньско-остерский и остерско-московский</w:t>
      </w:r>
      <w:r w:rsidR="00E7012E">
        <w:t xml:space="preserve"> водно-ледниковые горизонты</w:t>
      </w:r>
      <w:r w:rsidR="00DC77C5" w:rsidRPr="00DC77C5">
        <w:t>, раздел</w:t>
      </w:r>
      <w:r w:rsidR="00E7012E">
        <w:t>енные</w:t>
      </w:r>
      <w:r w:rsidR="00DC77C5" w:rsidRPr="00DC77C5">
        <w:t xml:space="preserve"> </w:t>
      </w:r>
      <w:r w:rsidR="00E7012E">
        <w:t xml:space="preserve">невыдержанными слабопроницаемыми отложениями </w:t>
      </w:r>
      <w:r w:rsidR="00DC77C5" w:rsidRPr="00DC77C5">
        <w:t>остерск</w:t>
      </w:r>
      <w:r w:rsidR="00E7012E">
        <w:t>ой</w:t>
      </w:r>
      <w:r w:rsidR="00DC77C5" w:rsidRPr="00DC77C5">
        <w:t xml:space="preserve"> морен</w:t>
      </w:r>
      <w:r w:rsidR="00E7012E">
        <w:t xml:space="preserve">ы. Участки откачек </w:t>
      </w:r>
      <w:r w:rsidR="00E7012E" w:rsidRPr="00DC77C5">
        <w:t>приурочен</w:t>
      </w:r>
      <w:r w:rsidR="00E7012E">
        <w:t>ы</w:t>
      </w:r>
      <w:r w:rsidR="00E7012E" w:rsidRPr="00DC77C5">
        <w:t xml:space="preserve"> к современной и погребенной долине р. Нерл</w:t>
      </w:r>
      <w:r w:rsidR="00E7012E">
        <w:t>ь, где моренные отложения частично или полностью размыты, что обеспечивает</w:t>
      </w:r>
      <w:r w:rsidR="00DC77C5" w:rsidRPr="00DC77C5">
        <w:t xml:space="preserve"> гидравлическ</w:t>
      </w:r>
      <w:r w:rsidR="00E7012E">
        <w:t>ую</w:t>
      </w:r>
      <w:r w:rsidR="00DC77C5" w:rsidRPr="00DC77C5">
        <w:t xml:space="preserve"> связь </w:t>
      </w:r>
      <w:r w:rsidR="00E7012E">
        <w:t xml:space="preserve">как </w:t>
      </w:r>
      <w:r w:rsidR="00DC77C5" w:rsidRPr="00DC77C5">
        <w:t xml:space="preserve">между двумя водоносными горизонтами </w:t>
      </w:r>
      <w:r w:rsidR="00E7012E">
        <w:t>комплекса, так и взаимодействие комплекса с поверхностными водами р. Нерль.</w:t>
      </w:r>
    </w:p>
    <w:p w:rsidR="00597129" w:rsidRDefault="00CC18AD" w:rsidP="005D31C6">
      <w:pPr>
        <w:pStyle w:val="a6"/>
        <w:spacing w:line="240" w:lineRule="auto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389255</wp:posOffset>
            </wp:positionV>
            <wp:extent cx="3574415" cy="2046605"/>
            <wp:effectExtent l="19050" t="0" r="6985" b="0"/>
            <wp:wrapSquare wrapText="bothSides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rcRect r="35602" b="39695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C30">
        <w:t>На большинстве</w:t>
      </w:r>
      <w:r w:rsidR="00E7012E">
        <w:t xml:space="preserve"> графиков снижения уровней при откачках</w:t>
      </w:r>
      <w:r w:rsidR="00D76C30">
        <w:t xml:space="preserve"> выделяется начальный квазистационарный участок, после которого наступает стабилизация понижений, которая в условиях проведения откачек в </w:t>
      </w:r>
      <w:r w:rsidR="005D31C6" w:rsidRPr="005D31C6">
        <w:t>50-</w:t>
      </w:r>
      <w:r w:rsidR="00D76C30">
        <w:t xml:space="preserve">100м от реки может быть вызвана ее влиянием. Результаты обработки квазистационарного этапа по схеме Тейса дают значения проводимости пласта </w:t>
      </w:r>
      <w:r>
        <w:t>от 1500 до 2000 м</w:t>
      </w:r>
      <w:r w:rsidRPr="00CC18AD">
        <w:rPr>
          <w:vertAlign w:val="superscript"/>
        </w:rPr>
        <w:t>2</w:t>
      </w:r>
      <w:r>
        <w:t xml:space="preserve">/сут (рис. 1). </w:t>
      </w:r>
      <w:r w:rsidR="00D76C30">
        <w:t xml:space="preserve">Для </w:t>
      </w:r>
      <w:r>
        <w:t>стационарн</w:t>
      </w:r>
      <w:r w:rsidR="00D76C30">
        <w:t>ого</w:t>
      </w:r>
      <w:r>
        <w:t xml:space="preserve"> период</w:t>
      </w:r>
      <w:r w:rsidR="00D76C30">
        <w:t>а, применяя расчетную схему откачки у реки</w:t>
      </w:r>
      <w:r>
        <w:t xml:space="preserve">, </w:t>
      </w:r>
      <w:r w:rsidR="00D76C30">
        <w:t>получаем те же значения проводимости и высокие значения параметра несовершенситва ложа водотока Δ</w:t>
      </w:r>
      <w:r w:rsidR="00D76C30">
        <w:rPr>
          <w:lang w:val="en-US"/>
        </w:rPr>
        <w:t>L</w:t>
      </w:r>
      <w:r w:rsidR="00D76C30" w:rsidRPr="00D76C30">
        <w:t xml:space="preserve"> </w:t>
      </w:r>
      <w:r w:rsidR="00D76C30">
        <w:t>–</w:t>
      </w:r>
      <w:r w:rsidR="00D76C30" w:rsidRPr="00D76C30">
        <w:t xml:space="preserve"> </w:t>
      </w:r>
      <w:r w:rsidR="00D76C30">
        <w:t>порядка 2000 м.</w:t>
      </w:r>
      <w:r w:rsidR="005D31C6" w:rsidRPr="005D31C6">
        <w:t xml:space="preserve">           </w:t>
      </w:r>
      <w:r w:rsidR="005D31C6" w:rsidRPr="002A368F">
        <w:t>Рис. 1. Графики обработки откачек по схеме Тейса</w:t>
      </w:r>
      <w:r w:rsidR="00D76C30">
        <w:t xml:space="preserve">            </w:t>
      </w:r>
      <w:r>
        <w:t xml:space="preserve">                                     </w:t>
      </w:r>
      <w:r w:rsidR="00110B34">
        <w:t xml:space="preserve">  </w:t>
      </w:r>
    </w:p>
    <w:p w:rsidR="002A368F" w:rsidRDefault="000B3BF2" w:rsidP="002A368F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609600</wp:posOffset>
            </wp:positionV>
            <wp:extent cx="3568065" cy="2190115"/>
            <wp:effectExtent l="0" t="0" r="0" b="0"/>
            <wp:wrapSquare wrapText="bothSides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rcRect r="35602" b="31362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E10">
        <w:rPr>
          <w:rFonts w:ascii="Times New Roman" w:hAnsi="Times New Roman" w:cs="Times New Roman"/>
          <w:sz w:val="24"/>
        </w:rPr>
        <w:t>Однако</w:t>
      </w:r>
      <w:proofErr w:type="gramStart"/>
      <w:r w:rsidR="005D31C6" w:rsidRPr="005D31C6">
        <w:rPr>
          <w:rFonts w:ascii="Times New Roman" w:hAnsi="Times New Roman" w:cs="Times New Roman"/>
          <w:sz w:val="24"/>
        </w:rPr>
        <w:t>,</w:t>
      </w:r>
      <w:proofErr w:type="gramEnd"/>
      <w:r w:rsidR="00975E10">
        <w:rPr>
          <w:rFonts w:ascii="Times New Roman" w:hAnsi="Times New Roman" w:cs="Times New Roman"/>
          <w:sz w:val="24"/>
        </w:rPr>
        <w:t xml:space="preserve"> при проведении откачек зафиксировано понижение уровня и в верхнем покровном слое аллювиальных отложений. В этом случае стабилизация понижений в конце откачек может быть ложной, и связана с перетеканием из покрова. </w:t>
      </w:r>
      <w:bookmarkStart w:id="0" w:name="_GoBack"/>
      <w:bookmarkEnd w:id="0"/>
      <w:r w:rsidR="00975E10">
        <w:rPr>
          <w:rFonts w:ascii="Times New Roman" w:hAnsi="Times New Roman" w:cs="Times New Roman"/>
          <w:sz w:val="24"/>
        </w:rPr>
        <w:t xml:space="preserve">Проверка этого предположения с </w:t>
      </w:r>
      <w:r w:rsidR="00CC18AD">
        <w:rPr>
          <w:rFonts w:ascii="Times New Roman" w:hAnsi="Times New Roman" w:cs="Times New Roman"/>
          <w:sz w:val="24"/>
        </w:rPr>
        <w:t>помощью численно-аналитических решений</w:t>
      </w:r>
      <w:r w:rsidR="00E0717C">
        <w:rPr>
          <w:rFonts w:ascii="Times New Roman" w:hAnsi="Times New Roman" w:cs="Times New Roman"/>
          <w:sz w:val="24"/>
        </w:rPr>
        <w:t xml:space="preserve"> (рис. 2)</w:t>
      </w:r>
      <w:r w:rsidR="00975E10">
        <w:rPr>
          <w:rFonts w:ascii="Times New Roman" w:hAnsi="Times New Roman" w:cs="Times New Roman"/>
          <w:sz w:val="24"/>
        </w:rPr>
        <w:t xml:space="preserve"> показывает, что</w:t>
      </w:r>
      <w:r w:rsidR="00CC18AD">
        <w:rPr>
          <w:rFonts w:ascii="Times New Roman" w:hAnsi="Times New Roman" w:cs="Times New Roman"/>
          <w:sz w:val="24"/>
        </w:rPr>
        <w:t xml:space="preserve"> при определенных параметрах покровного слоя,</w:t>
      </w:r>
      <w:r w:rsidR="00975E10">
        <w:rPr>
          <w:rFonts w:ascii="Times New Roman" w:hAnsi="Times New Roman" w:cs="Times New Roman"/>
          <w:sz w:val="24"/>
        </w:rPr>
        <w:t xml:space="preserve"> которые вполне отвечают его литологическому составу</w:t>
      </w:r>
      <w:r w:rsidR="00CC18AD">
        <w:rPr>
          <w:rFonts w:ascii="Times New Roman" w:hAnsi="Times New Roman" w:cs="Times New Roman"/>
          <w:sz w:val="24"/>
        </w:rPr>
        <w:t xml:space="preserve"> можно добиться</w:t>
      </w:r>
      <w:r w:rsidR="00E0717C">
        <w:rPr>
          <w:rFonts w:ascii="Times New Roman" w:hAnsi="Times New Roman" w:cs="Times New Roman"/>
          <w:sz w:val="24"/>
        </w:rPr>
        <w:t xml:space="preserve"> достаточно длительного </w:t>
      </w:r>
      <w:proofErr w:type="spellStart"/>
      <w:r w:rsidR="00975E10">
        <w:rPr>
          <w:rFonts w:ascii="Times New Roman" w:hAnsi="Times New Roman" w:cs="Times New Roman"/>
          <w:sz w:val="24"/>
        </w:rPr>
        <w:t>ложно</w:t>
      </w:r>
      <w:r w:rsidR="00CC18AD">
        <w:rPr>
          <w:rFonts w:ascii="Times New Roman" w:hAnsi="Times New Roman" w:cs="Times New Roman"/>
          <w:sz w:val="24"/>
        </w:rPr>
        <w:t>стационарного</w:t>
      </w:r>
      <w:proofErr w:type="spellEnd"/>
      <w:r w:rsidR="00CC18AD">
        <w:rPr>
          <w:rFonts w:ascii="Times New Roman" w:hAnsi="Times New Roman" w:cs="Times New Roman"/>
          <w:sz w:val="24"/>
        </w:rPr>
        <w:t xml:space="preserve"> участка, после которого снова наступает </w:t>
      </w:r>
      <w:proofErr w:type="spellStart"/>
      <w:r w:rsidR="00CC18AD">
        <w:rPr>
          <w:rFonts w:ascii="Times New Roman" w:hAnsi="Times New Roman" w:cs="Times New Roman"/>
          <w:sz w:val="24"/>
        </w:rPr>
        <w:t>квазистационарный</w:t>
      </w:r>
      <w:proofErr w:type="spellEnd"/>
      <w:r w:rsidR="00CC18AD">
        <w:rPr>
          <w:rFonts w:ascii="Times New Roman" w:hAnsi="Times New Roman" w:cs="Times New Roman"/>
          <w:sz w:val="24"/>
        </w:rPr>
        <w:t xml:space="preserve"> период</w:t>
      </w:r>
      <w:r w:rsidR="00E0717C">
        <w:rPr>
          <w:rFonts w:ascii="Times New Roman" w:hAnsi="Times New Roman" w:cs="Times New Roman"/>
          <w:sz w:val="24"/>
        </w:rPr>
        <w:t xml:space="preserve">. </w:t>
      </w:r>
      <w:r w:rsidR="00975E10">
        <w:rPr>
          <w:rFonts w:ascii="Times New Roman" w:hAnsi="Times New Roman" w:cs="Times New Roman"/>
          <w:sz w:val="24"/>
        </w:rPr>
        <w:t>При этом значения проводимости пласта оказываются 1,5 – 2 раза меньше (порядка 1100м</w:t>
      </w:r>
      <w:r w:rsidR="00975E10" w:rsidRPr="00E0717C">
        <w:rPr>
          <w:rFonts w:ascii="Times New Roman" w:hAnsi="Times New Roman" w:cs="Times New Roman"/>
          <w:sz w:val="24"/>
          <w:vertAlign w:val="superscript"/>
        </w:rPr>
        <w:t>2</w:t>
      </w:r>
      <w:r w:rsidR="00975E10">
        <w:rPr>
          <w:rFonts w:ascii="Times New Roman" w:hAnsi="Times New Roman" w:cs="Times New Roman"/>
          <w:sz w:val="24"/>
        </w:rPr>
        <w:t>/</w:t>
      </w:r>
      <w:proofErr w:type="spellStart"/>
      <w:r w:rsidR="00975E10">
        <w:rPr>
          <w:rFonts w:ascii="Times New Roman" w:hAnsi="Times New Roman" w:cs="Times New Roman"/>
          <w:sz w:val="24"/>
        </w:rPr>
        <w:t>сут</w:t>
      </w:r>
      <w:proofErr w:type="spellEnd"/>
      <w:r w:rsidR="00975E10">
        <w:rPr>
          <w:rFonts w:ascii="Times New Roman" w:hAnsi="Times New Roman" w:cs="Times New Roman"/>
          <w:sz w:val="24"/>
        </w:rPr>
        <w:t>).</w:t>
      </w:r>
      <w:r w:rsidR="00110B34">
        <w:rPr>
          <w:rFonts w:ascii="Times New Roman" w:hAnsi="Times New Roman" w:cs="Times New Roman"/>
          <w:sz w:val="24"/>
        </w:rPr>
        <w:t xml:space="preserve"> </w:t>
      </w:r>
      <w:r w:rsidR="004377E1">
        <w:rPr>
          <w:rFonts w:ascii="Times New Roman" w:hAnsi="Times New Roman" w:cs="Times New Roman"/>
          <w:sz w:val="24"/>
        </w:rPr>
        <w:t xml:space="preserve">     </w:t>
      </w:r>
      <w:r w:rsidR="002A368F">
        <w:rPr>
          <w:rFonts w:ascii="Times New Roman" w:hAnsi="Times New Roman" w:cs="Times New Roman"/>
          <w:sz w:val="24"/>
        </w:rPr>
        <w:t xml:space="preserve">        </w:t>
      </w:r>
      <w:r w:rsidR="00110B34">
        <w:rPr>
          <w:rFonts w:ascii="Times New Roman" w:hAnsi="Times New Roman" w:cs="Times New Roman"/>
          <w:sz w:val="24"/>
        </w:rPr>
        <w:t>Рис. 2. Сопоставлен</w:t>
      </w:r>
      <w:r w:rsidR="00ED6BBB">
        <w:rPr>
          <w:rFonts w:ascii="Times New Roman" w:hAnsi="Times New Roman" w:cs="Times New Roman"/>
          <w:sz w:val="24"/>
        </w:rPr>
        <w:t xml:space="preserve">ие </w:t>
      </w:r>
      <w:proofErr w:type="gramStart"/>
      <w:r w:rsidR="00ED6BBB">
        <w:rPr>
          <w:rFonts w:ascii="Times New Roman" w:hAnsi="Times New Roman" w:cs="Times New Roman"/>
          <w:sz w:val="24"/>
        </w:rPr>
        <w:t>фактических</w:t>
      </w:r>
      <w:proofErr w:type="gramEnd"/>
      <w:r w:rsidR="00ED6BBB">
        <w:rPr>
          <w:rFonts w:ascii="Times New Roman" w:hAnsi="Times New Roman" w:cs="Times New Roman"/>
          <w:sz w:val="24"/>
        </w:rPr>
        <w:t xml:space="preserve"> и модельных</w:t>
      </w:r>
    </w:p>
    <w:p w:rsidR="00CC18AD" w:rsidRDefault="000B3BF2" w:rsidP="002A368F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4377E1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2A368F">
        <w:rPr>
          <w:rFonts w:ascii="Times New Roman" w:hAnsi="Times New Roman" w:cs="Times New Roman"/>
          <w:sz w:val="24"/>
        </w:rPr>
        <w:t xml:space="preserve">      </w:t>
      </w:r>
      <w:r w:rsidR="00ED6BBB">
        <w:rPr>
          <w:rFonts w:ascii="Times New Roman" w:hAnsi="Times New Roman" w:cs="Times New Roman"/>
          <w:sz w:val="24"/>
        </w:rPr>
        <w:t xml:space="preserve">графиков откачки по схеме с перетеканием </w:t>
      </w:r>
      <w:r w:rsidR="00110B34">
        <w:rPr>
          <w:rFonts w:ascii="Times New Roman" w:hAnsi="Times New Roman" w:cs="Times New Roman"/>
          <w:sz w:val="24"/>
        </w:rPr>
        <w:t xml:space="preserve">              </w:t>
      </w:r>
    </w:p>
    <w:p w:rsidR="00EC1301" w:rsidRPr="00D57C70" w:rsidRDefault="00EC1301" w:rsidP="00EC1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проведенный анализ показал, что з</w:t>
      </w:r>
      <w:r w:rsidRPr="00EC1301">
        <w:rPr>
          <w:rFonts w:ascii="Times New Roman" w:hAnsi="Times New Roman" w:cs="Times New Roman"/>
          <w:sz w:val="24"/>
          <w:szCs w:val="24"/>
        </w:rPr>
        <w:t xml:space="preserve">начения проводимости, полученные </w:t>
      </w:r>
      <w:r w:rsidR="00E0717C" w:rsidRPr="00EC1301">
        <w:rPr>
          <w:rFonts w:ascii="Times New Roman" w:hAnsi="Times New Roman" w:cs="Times New Roman"/>
          <w:sz w:val="24"/>
          <w:szCs w:val="24"/>
        </w:rPr>
        <w:t xml:space="preserve">по схеме </w:t>
      </w:r>
      <w:proofErr w:type="spellStart"/>
      <w:r w:rsidR="00E0717C" w:rsidRPr="00EC1301">
        <w:rPr>
          <w:rFonts w:ascii="Times New Roman" w:hAnsi="Times New Roman" w:cs="Times New Roman"/>
          <w:sz w:val="24"/>
          <w:szCs w:val="24"/>
        </w:rPr>
        <w:t>Тейса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717C" w:rsidRPr="00EC1301">
        <w:rPr>
          <w:rFonts w:ascii="Times New Roman" w:hAnsi="Times New Roman" w:cs="Times New Roman"/>
          <w:sz w:val="24"/>
          <w:szCs w:val="24"/>
        </w:rPr>
        <w:t xml:space="preserve"> </w:t>
      </w:r>
      <w:r w:rsidRPr="00EC1301">
        <w:rPr>
          <w:rFonts w:ascii="Times New Roman" w:hAnsi="Times New Roman" w:cs="Times New Roman"/>
          <w:sz w:val="24"/>
          <w:szCs w:val="24"/>
        </w:rPr>
        <w:t xml:space="preserve">являются в 1,5-2 раза </w:t>
      </w:r>
      <w:r w:rsidR="00E0717C" w:rsidRPr="00EC1301">
        <w:rPr>
          <w:rFonts w:ascii="Times New Roman" w:hAnsi="Times New Roman" w:cs="Times New Roman"/>
          <w:sz w:val="24"/>
          <w:szCs w:val="24"/>
        </w:rPr>
        <w:t>завышенны</w:t>
      </w:r>
      <w:r w:rsidRPr="00EC1301">
        <w:rPr>
          <w:rFonts w:ascii="Times New Roman" w:hAnsi="Times New Roman" w:cs="Times New Roman"/>
          <w:sz w:val="24"/>
          <w:szCs w:val="24"/>
        </w:rPr>
        <w:t xml:space="preserve">ми за счет </w:t>
      </w:r>
      <w:r w:rsidR="00E0717C" w:rsidRPr="00EC1301">
        <w:rPr>
          <w:rFonts w:ascii="Times New Roman" w:hAnsi="Times New Roman" w:cs="Times New Roman"/>
          <w:sz w:val="24"/>
          <w:szCs w:val="24"/>
        </w:rPr>
        <w:t>перетекани</w:t>
      </w:r>
      <w:r w:rsidRPr="00EC1301">
        <w:rPr>
          <w:rFonts w:ascii="Times New Roman" w:hAnsi="Times New Roman" w:cs="Times New Roman"/>
          <w:sz w:val="24"/>
          <w:szCs w:val="24"/>
        </w:rPr>
        <w:t>я</w:t>
      </w:r>
      <w:r w:rsidR="00E0717C" w:rsidRPr="00EC1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покровного слоя. Кроме того, интерпретация стационарных периодов по схеме откачки у реки может быть ошибочной и давать неверные оценки параметра </w:t>
      </w:r>
      <w:r w:rsidR="00D57C70">
        <w:rPr>
          <w:rFonts w:ascii="Times New Roman" w:hAnsi="Times New Roman" w:cs="Times New Roman"/>
          <w:sz w:val="24"/>
          <w:szCs w:val="24"/>
        </w:rPr>
        <w:t>несовершенс</w:t>
      </w:r>
      <w:r w:rsidR="00D57C70" w:rsidRPr="00D57C70">
        <w:rPr>
          <w:rFonts w:ascii="Times New Roman" w:hAnsi="Times New Roman" w:cs="Times New Roman"/>
          <w:sz w:val="24"/>
          <w:szCs w:val="24"/>
        </w:rPr>
        <w:t>тва ложа водотока Δ</w:t>
      </w:r>
      <w:r w:rsidR="00D57C70" w:rsidRPr="00D57C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57C70">
        <w:rPr>
          <w:rFonts w:ascii="Times New Roman" w:hAnsi="Times New Roman" w:cs="Times New Roman"/>
          <w:sz w:val="24"/>
          <w:szCs w:val="24"/>
        </w:rPr>
        <w:t>. Расчетные схемы для обработки данных откачек нуждаются в дальнейшем обосновании на основе их численного моделирования.</w:t>
      </w:r>
    </w:p>
    <w:sectPr w:rsidR="00EC1301" w:rsidRPr="00D57C70" w:rsidSect="00BF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A0B"/>
    <w:multiLevelType w:val="hybridMultilevel"/>
    <w:tmpl w:val="4372BBD2"/>
    <w:lvl w:ilvl="0" w:tplc="04190001">
      <w:start w:val="1"/>
      <w:numFmt w:val="bullet"/>
      <w:pStyle w:val="a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F6353C7"/>
    <w:multiLevelType w:val="hybridMultilevel"/>
    <w:tmpl w:val="6D34F5B2"/>
    <w:lvl w:ilvl="0" w:tplc="3B0A3908">
      <w:start w:val="1"/>
      <w:numFmt w:val="decimal"/>
      <w:lvlText w:val="%1)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129"/>
    <w:rsid w:val="000B3BF2"/>
    <w:rsid w:val="00110B34"/>
    <w:rsid w:val="001C7422"/>
    <w:rsid w:val="00212EE7"/>
    <w:rsid w:val="002A368F"/>
    <w:rsid w:val="002B6AA1"/>
    <w:rsid w:val="004377E1"/>
    <w:rsid w:val="00597129"/>
    <w:rsid w:val="005D31C6"/>
    <w:rsid w:val="007F30B3"/>
    <w:rsid w:val="00975E10"/>
    <w:rsid w:val="00A64BEE"/>
    <w:rsid w:val="00BF6EAF"/>
    <w:rsid w:val="00C01820"/>
    <w:rsid w:val="00CC18AD"/>
    <w:rsid w:val="00D57C70"/>
    <w:rsid w:val="00D76C30"/>
    <w:rsid w:val="00DC77C5"/>
    <w:rsid w:val="00E0717C"/>
    <w:rsid w:val="00E7012E"/>
    <w:rsid w:val="00EC1301"/>
    <w:rsid w:val="00ED6BBB"/>
    <w:rsid w:val="00F6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E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7129"/>
    <w:rPr>
      <w:rFonts w:ascii="Tahoma" w:hAnsi="Tahoma" w:cs="Tahoma"/>
      <w:sz w:val="16"/>
      <w:szCs w:val="16"/>
    </w:rPr>
  </w:style>
  <w:style w:type="paragraph" w:customStyle="1" w:styleId="a6">
    <w:name w:val="!Текст отчета"/>
    <w:basedOn w:val="a"/>
    <w:qFormat/>
    <w:rsid w:val="001C7422"/>
    <w:pPr>
      <w:numPr>
        <w:numId w:val="0"/>
      </w:numPr>
      <w:spacing w:after="0" w:line="360" w:lineRule="auto"/>
      <w:ind w:firstLine="709"/>
      <w:contextualSpacing w:val="0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1C7422"/>
    <w:pPr>
      <w:numPr>
        <w:numId w:val="1"/>
      </w:numPr>
      <w:contextualSpacing/>
    </w:pPr>
  </w:style>
  <w:style w:type="paragraph" w:styleId="a7">
    <w:name w:val="List Paragraph"/>
    <w:basedOn w:val="a0"/>
    <w:uiPriority w:val="34"/>
    <w:qFormat/>
    <w:rsid w:val="00CC1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377C-ACD8-44EB-A55C-583C9065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2016-04-12T10:38:00Z</dcterms:created>
  <dcterms:modified xsi:type="dcterms:W3CDTF">2016-04-12T10:38:00Z</dcterms:modified>
</cp:coreProperties>
</file>