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Сивков Д.В.</w:t>
      </w:r>
      <w:r>
        <w:rPr>
          <w:rFonts w:ascii="Times New Roman" w:cs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cs="Times New Roman" w:hAnsi="Times New Roman"/>
          <w:sz w:val="24"/>
          <w:szCs w:val="24"/>
        </w:rPr>
        <w:t>Геологическое строение и подсчет запасов на VIII участк</w:t>
      </w:r>
      <w:r>
        <w:rPr>
          <w:rFonts w:ascii="Times New Roman" w:cs="Times New Roman" w:hAnsi="Times New Roman"/>
          <w:sz w:val="24"/>
          <w:szCs w:val="24"/>
        </w:rPr>
        <w:t xml:space="preserve">е </w:t>
      </w:r>
      <w:r>
        <w:rPr>
          <w:rFonts w:ascii="Times New Roman" w:cs="Times New Roman" w:hAnsi="Times New Roman"/>
          <w:sz w:val="24"/>
          <w:szCs w:val="24"/>
        </w:rPr>
        <w:t>Верхнеашутского</w:t>
      </w:r>
      <w:r>
        <w:rPr>
          <w:rFonts w:ascii="Times New Roman" w:cs="Times New Roman" w:hAnsi="Times New Roman"/>
          <w:sz w:val="24"/>
          <w:szCs w:val="24"/>
        </w:rPr>
        <w:t xml:space="preserve"> месторождения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Амангельдинский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бокситорудный</w:t>
      </w:r>
      <w:r>
        <w:rPr>
          <w:rFonts w:ascii="Times New Roman" w:cs="Times New Roman" w:hAnsi="Times New Roman"/>
          <w:sz w:val="24"/>
          <w:szCs w:val="24"/>
        </w:rPr>
        <w:t xml:space="preserve"> район)</w:t>
      </w:r>
      <w:r>
        <w:rPr>
          <w:rFonts w:ascii="Times New Roman" w:cs="Times New Roman" w:hAnsi="Times New Roman"/>
          <w:sz w:val="24"/>
          <w:szCs w:val="24"/>
        </w:rPr>
        <w:t xml:space="preserve">, магистрант 1 </w:t>
      </w:r>
      <w:r>
        <w:rPr>
          <w:rFonts w:ascii="Times New Roman" w:cs="Times New Roman" w:hAnsi="Times New Roman"/>
          <w:sz w:val="24"/>
          <w:szCs w:val="24"/>
        </w:rPr>
        <w:t>г.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., </w:t>
      </w:r>
      <w:r>
        <w:rPr>
          <w:rFonts w:ascii="Times New Roman" w:cs="Times New Roman" w:hAnsi="Times New Roman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</w:rPr>
        <w:t>афедра</w:t>
      </w:r>
      <w:r>
        <w:rPr>
          <w:rFonts w:ascii="Times New Roman" w:cs="Times New Roman" w:hAnsi="Times New Roman"/>
          <w:sz w:val="24"/>
          <w:szCs w:val="24"/>
        </w:rPr>
        <w:t xml:space="preserve"> геологии, геохимии и экономики полезных ископаемых, научный руководитель – </w:t>
      </w:r>
      <w:r>
        <w:rPr>
          <w:rFonts w:ascii="Times New Roman" w:cs="Times New Roman" w:hAnsi="Times New Roman"/>
          <w:sz w:val="24"/>
          <w:szCs w:val="24"/>
        </w:rPr>
        <w:t>Дергачёв</w:t>
      </w:r>
      <w:r>
        <w:rPr>
          <w:rFonts w:ascii="Times New Roman" w:cs="Times New Roman" w:hAnsi="Times New Roman"/>
          <w:sz w:val="24"/>
          <w:szCs w:val="24"/>
        </w:rPr>
        <w:t> А.Л.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Амангельдинский</w:t>
      </w:r>
      <w:r>
        <w:rPr>
          <w:rFonts w:ascii="Times New Roman" w:cs="Times New Roman" w:hAnsi="Times New Roman"/>
          <w:sz w:val="24"/>
          <w:szCs w:val="24"/>
        </w:rPr>
        <w:t xml:space="preserve"> район, расположенный в Центральном Казахстане, известен своими месторождениями бокситов и огнеупорных глин. В его геологическом строении участвуют породы фундамента, которые представлены метаморфическими образованиями докембрия и </w:t>
      </w:r>
      <w:r>
        <w:rPr>
          <w:rFonts w:ascii="Times New Roman" w:cs="Times New Roman" w:hAnsi="Times New Roman"/>
          <w:sz w:val="24"/>
          <w:szCs w:val="24"/>
        </w:rPr>
        <w:t>девон-каменноугольными</w:t>
      </w:r>
      <w:r>
        <w:rPr>
          <w:rFonts w:ascii="Times New Roman" w:cs="Times New Roman" w:hAnsi="Times New Roman"/>
          <w:sz w:val="24"/>
          <w:szCs w:val="24"/>
        </w:rPr>
        <w:t xml:space="preserve"> терригенно-карбонатными породами. </w:t>
      </w:r>
      <w:r>
        <w:rPr>
          <w:rFonts w:ascii="Times New Roman" w:cs="Times New Roman" w:hAnsi="Times New Roman"/>
          <w:sz w:val="24"/>
          <w:szCs w:val="24"/>
        </w:rPr>
        <w:t>Образования</w:t>
      </w:r>
      <w:r>
        <w:rPr>
          <w:rFonts w:ascii="Times New Roman" w:cs="Times New Roman" w:hAnsi="Times New Roman"/>
          <w:sz w:val="24"/>
          <w:szCs w:val="24"/>
        </w:rPr>
        <w:t xml:space="preserve"> фундамента сложно дислоцированы и сильно </w:t>
      </w:r>
      <w:r>
        <w:rPr>
          <w:rFonts w:ascii="Times New Roman" w:cs="Times New Roman" w:hAnsi="Times New Roman"/>
          <w:sz w:val="24"/>
          <w:szCs w:val="24"/>
        </w:rPr>
        <w:t>метаморфизованы</w:t>
      </w:r>
      <w:r>
        <w:rPr>
          <w:rFonts w:ascii="Times New Roman" w:cs="Times New Roman" w:hAnsi="Times New Roman"/>
          <w:sz w:val="24"/>
          <w:szCs w:val="24"/>
        </w:rPr>
        <w:t>, что обусловлено проявлениями байкальской, каледонской и герцинской складчатости.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Фундамент перекрывается бокситоносными породами осадочного чехла, которые представлены горизонтально залегающими рыхлыми образованиями верхнего мела и кайнозоя. В южной части района метаморфические образования докембрия прорваны позднепротерозойскими гранитами и позднеордовикским комплексом гранодиоритов.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Бокситовые тела залегают в толще осадочного чехла на поверхности карбонатных пород фундамента. Для </w:t>
      </w:r>
      <w:r>
        <w:rPr>
          <w:rFonts w:ascii="Times New Roman" w:cs="Times New Roman" w:hAnsi="Times New Roman"/>
          <w:sz w:val="24"/>
          <w:szCs w:val="24"/>
        </w:rPr>
        <w:t>выяснения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палеоструктурной</w:t>
      </w:r>
      <w:r>
        <w:rPr>
          <w:rFonts w:ascii="Times New Roman" w:cs="Times New Roman" w:hAnsi="Times New Roman"/>
          <w:sz w:val="24"/>
          <w:szCs w:val="24"/>
        </w:rPr>
        <w:t xml:space="preserve"> позиции бокситовых тел и их наиболее мощных частей</w:t>
      </w:r>
      <w:r>
        <w:rPr>
          <w:rFonts w:ascii="Times New Roman" w:cs="Times New Roman" w:hAnsi="Times New Roman"/>
          <w:sz w:val="24"/>
          <w:szCs w:val="24"/>
        </w:rPr>
        <w:t xml:space="preserve"> с помощью ГИС </w:t>
      </w:r>
      <w:r>
        <w:rPr>
          <w:rFonts w:ascii="Times New Roman" w:cs="Times New Roman" w:hAnsi="Times New Roman"/>
          <w:sz w:val="24"/>
          <w:szCs w:val="24"/>
          <w:lang w:val="en-US"/>
        </w:rPr>
        <w:t>ESRI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ArcGis</w:t>
      </w:r>
      <w:r>
        <w:rPr>
          <w:rFonts w:ascii="Times New Roman" w:cs="Times New Roman" w:hAnsi="Times New Roman"/>
          <w:sz w:val="24"/>
          <w:szCs w:val="24"/>
        </w:rPr>
        <w:t xml:space="preserve"> была составлена схема </w:t>
      </w:r>
      <w:r>
        <w:rPr>
          <w:rFonts w:ascii="Times New Roman" w:cs="Times New Roman" w:hAnsi="Times New Roman"/>
          <w:sz w:val="24"/>
          <w:szCs w:val="24"/>
        </w:rPr>
        <w:t>палеорельефа</w:t>
      </w:r>
      <w:r>
        <w:rPr>
          <w:rFonts w:ascii="Times New Roman" w:cs="Times New Roman" w:hAnsi="Times New Roman"/>
          <w:sz w:val="24"/>
          <w:szCs w:val="24"/>
        </w:rPr>
        <w:t xml:space="preserve"> в </w:t>
      </w:r>
      <w:r>
        <w:rPr>
          <w:rFonts w:ascii="Times New Roman" w:cs="Times New Roman" w:hAnsi="Times New Roman"/>
          <w:sz w:val="24"/>
          <w:szCs w:val="24"/>
        </w:rPr>
        <w:t>стратоизогипсах</w:t>
      </w:r>
      <w:r>
        <w:rPr>
          <w:rFonts w:ascii="Times New Roman" w:cs="Times New Roman" w:hAnsi="Times New Roman"/>
          <w:sz w:val="24"/>
          <w:szCs w:val="24"/>
        </w:rPr>
        <w:t xml:space="preserve"> подошвы бокситовых тел. В качестве исходных данных были использованы результаты разведочного и эксплуатационно-разведочного бурения и опробования (3304 пробы).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Было выявлено</w:t>
      </w:r>
      <w:r>
        <w:rPr>
          <w:rFonts w:ascii="Times New Roman" w:cs="Times New Roman" w:hAnsi="Times New Roman"/>
          <w:sz w:val="24"/>
          <w:szCs w:val="24"/>
        </w:rPr>
        <w:t>, что</w:t>
      </w:r>
      <w:r>
        <w:rPr>
          <w:rFonts w:ascii="Times New Roman" w:cs="Times New Roman" w:hAnsi="Times New Roman"/>
          <w:sz w:val="24"/>
          <w:szCs w:val="24"/>
        </w:rPr>
        <w:t xml:space="preserve"> основные залежи бокситов приурочены к впадинам </w:t>
      </w:r>
      <w:r>
        <w:rPr>
          <w:rFonts w:ascii="Times New Roman" w:cs="Times New Roman" w:hAnsi="Times New Roman"/>
          <w:sz w:val="24"/>
          <w:szCs w:val="24"/>
        </w:rPr>
        <w:t>палеорельефа</w:t>
      </w:r>
      <w:r>
        <w:rPr>
          <w:rFonts w:ascii="Times New Roman" w:cs="Times New Roman" w:hAnsi="Times New Roman"/>
          <w:sz w:val="24"/>
          <w:szCs w:val="24"/>
        </w:rPr>
        <w:t>, которые соответствуют древним обширным карстовым воронкам</w:t>
      </w:r>
      <w:r>
        <w:rPr>
          <w:rFonts w:ascii="Times New Roman" w:cs="Times New Roman" w:hAnsi="Times New Roman"/>
          <w:sz w:val="24"/>
          <w:szCs w:val="24"/>
        </w:rPr>
        <w:t xml:space="preserve">, а перепад гипсометрических уровней </w:t>
      </w:r>
      <w:r>
        <w:rPr>
          <w:rFonts w:ascii="Times New Roman" w:cs="Times New Roman" w:hAnsi="Times New Roman"/>
          <w:sz w:val="24"/>
          <w:szCs w:val="24"/>
        </w:rPr>
        <w:t>палеорельефа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превышает </w:t>
      </w:r>
      <w:r>
        <w:rPr>
          <w:rFonts w:ascii="Times New Roman" w:cs="Times New Roman" w:hAnsi="Times New Roman"/>
          <w:sz w:val="24"/>
          <w:szCs w:val="24"/>
        </w:rPr>
        <w:t>60 метров</w:t>
      </w:r>
      <w:r>
        <w:rPr>
          <w:rFonts w:ascii="Times New Roman" w:cs="Times New Roman" w:hAnsi="Times New Roman"/>
          <w:sz w:val="24"/>
          <w:szCs w:val="24"/>
        </w:rPr>
        <w:t>. Таким об</w:t>
      </w:r>
      <w:r>
        <w:rPr>
          <w:rFonts w:ascii="Times New Roman" w:cs="Times New Roman" w:hAnsi="Times New Roman"/>
          <w:sz w:val="24"/>
          <w:szCs w:val="24"/>
        </w:rPr>
        <w:t xml:space="preserve">разом, </w:t>
      </w:r>
      <w:r>
        <w:rPr>
          <w:rFonts w:ascii="Times New Roman" w:cs="Times New Roman" w:hAnsi="Times New Roman"/>
          <w:sz w:val="24"/>
          <w:szCs w:val="24"/>
        </w:rPr>
        <w:t>палеокарстовые</w:t>
      </w:r>
      <w:r>
        <w:rPr>
          <w:rFonts w:ascii="Times New Roman" w:cs="Times New Roman" w:hAnsi="Times New Roman"/>
          <w:sz w:val="24"/>
          <w:szCs w:val="24"/>
        </w:rPr>
        <w:t xml:space="preserve"> депрессии</w:t>
      </w:r>
      <w:r>
        <w:rPr>
          <w:rFonts w:ascii="Times New Roman" w:cs="Times New Roman" w:hAnsi="Times New Roman"/>
          <w:sz w:val="24"/>
          <w:szCs w:val="24"/>
        </w:rPr>
        <w:t xml:space="preserve"> можно рассматривать </w:t>
      </w:r>
      <w:r>
        <w:rPr>
          <w:rFonts w:ascii="Times New Roman" w:cs="Times New Roman" w:hAnsi="Times New Roman"/>
          <w:sz w:val="24"/>
          <w:szCs w:val="24"/>
        </w:rPr>
        <w:t xml:space="preserve"> в качестве</w:t>
      </w:r>
      <w:r>
        <w:rPr>
          <w:rFonts w:ascii="Times New Roman" w:cs="Times New Roman" w:hAnsi="Times New Roman"/>
          <w:sz w:val="24"/>
          <w:szCs w:val="24"/>
        </w:rPr>
        <w:t xml:space="preserve"> главны</w:t>
      </w:r>
      <w:r>
        <w:rPr>
          <w:rFonts w:ascii="Times New Roman" w:cs="Times New Roman" w:hAnsi="Times New Roman"/>
          <w:sz w:val="24"/>
          <w:szCs w:val="24"/>
        </w:rPr>
        <w:t>х рудоконтролирующих структур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</w:rPr>
        <w:t xml:space="preserve">акопление наиболее мощных </w:t>
      </w:r>
      <w:r>
        <w:rPr>
          <w:rFonts w:ascii="Times New Roman" w:cs="Times New Roman" w:hAnsi="Times New Roman"/>
          <w:sz w:val="24"/>
          <w:szCs w:val="24"/>
        </w:rPr>
        <w:t>частей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бокситорудных</w:t>
      </w:r>
      <w:r>
        <w:rPr>
          <w:rFonts w:ascii="Times New Roman" w:cs="Times New Roman" w:hAnsi="Times New Roman"/>
          <w:sz w:val="24"/>
          <w:szCs w:val="24"/>
        </w:rPr>
        <w:t xml:space="preserve"> тел</w:t>
      </w:r>
      <w:r>
        <w:rPr>
          <w:rFonts w:ascii="Times New Roman" w:cs="Times New Roman" w:hAnsi="Times New Roman"/>
          <w:sz w:val="24"/>
          <w:szCs w:val="24"/>
        </w:rPr>
        <w:t xml:space="preserve"> происходило </w:t>
      </w:r>
      <w:r>
        <w:rPr>
          <w:rFonts w:ascii="Times New Roman" w:cs="Times New Roman" w:hAnsi="Times New Roman"/>
          <w:sz w:val="24"/>
          <w:szCs w:val="24"/>
        </w:rPr>
        <w:t>именно в пределах древних карстовых воронок</w:t>
      </w:r>
      <w:r>
        <w:rPr>
          <w:rFonts w:ascii="Times New Roman" w:cs="Times New Roman" w:hAnsi="Times New Roman"/>
          <w:sz w:val="24"/>
          <w:szCs w:val="24"/>
        </w:rPr>
        <w:t xml:space="preserve"> (рис. 1)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pict>
          <v:group id="1026" filled="f" stroked="f" style="position:absolute;margin-left:217.05pt;margin-top:192.65pt;width:310.3pt;height:231.05pt;z-index:2;mso-position-horizontal-relative:text;mso-position-vertical-relative:text;mso-width-relative:margin;mso-height-relative:margin;visibility:visible;" coordsize="39396,29354" coordorigin="-445,-398">
            <v:shapetype id="_x0000_t202" coordsize="21600,21600" o:spt="202" path="m,l,21600r21600,l21600,xe">
              <v:stroke joinstyle="miter"/>
              <v:path gradientshapeok="t" o:connecttype="rect"/>
            </v:shapetype>
            <v:shape id="1028" type="#_x0000_t202" fillcolor="white" stroked="f" style="position:absolute;left:0.0;top:24574.0;width:38290.0;height:4382.0;z-index:3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 xml:space="preserve">Рисунок 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instrText xml:space="preserve"> SEQ Рисунок \* ARABIC </w:instrTex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cs="Times New Roman" w:hAnsi="Times New Roman"/>
                        <w:i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fldChar w:fldCharType="end"/>
                    </w:r>
                  </w:p>
                  <w:p>
                    <w:pPr>
                      <w:pStyle w:val="style0"/>
                      <w:spacing w:after="0" w:lineRule="auto" w:line="240"/>
                      <w:jc w:val="center"/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 xml:space="preserve">Позиция 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>бокситорудных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 xml:space="preserve"> тел в 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>палеорельефе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  <w:lang w:val="en-US"/>
                      </w:rPr>
                      <w:t>VIII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>участка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>Верхнеашутского</w:t>
                    </w:r>
                    <w:r>
                      <w:rPr>
                        <w:rFonts w:ascii="Times New Roman" w:cs="Times New Roman" w:hAnsi="Times New Roman"/>
                        <w:i/>
                        <w:sz w:val="20"/>
                        <w:szCs w:val="20"/>
                      </w:rPr>
                      <w:t xml:space="preserve"> месторождения</w:t>
                    </w:r>
                  </w:p>
                </w:txbxContent>
              </v:textbox>
            </v:shape>
            <v:shape id="1030" type="#_x0000_t204" filled="f" stroked="f" style="position:absolute;left:-445.0;top:-398.0;width:39395.0;height:24972.0;z-index:4;mso-position-horizontal-relative:text;mso-position-vertical-relative:text;mso-width-relative:page;mso-height-relative:page;visibility:visible;">
              <v:imagedata r:id="rId2" embosscolor="white" grayscale="true" o:title=""/>
              <v:stroke on="f" joinstyle="miter"/>
              <o:lock aspectratio="true" v:ext="view"/>
              <v:fill/>
              <v:path o:connecttype="rect" extrusionok="f" gradientshapeok="t" arrow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w10:wrap type="square"/>
            <v:fill/>
          </v:group>
        </w:pict>
      </w:r>
      <w:r>
        <w:rPr>
          <w:rFonts w:ascii="Times New Roman" w:cs="Times New Roman" w:hAnsi="Times New Roman"/>
          <w:sz w:val="24"/>
          <w:szCs w:val="24"/>
        </w:rPr>
        <w:t xml:space="preserve">Для </w:t>
      </w:r>
      <w:r>
        <w:rPr>
          <w:rFonts w:ascii="Times New Roman" w:cs="Times New Roman" w:hAnsi="Times New Roman"/>
          <w:sz w:val="24"/>
          <w:szCs w:val="24"/>
        </w:rPr>
        <w:t>подсчет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запасов бокситов </w:t>
      </w:r>
      <w:r>
        <w:rPr>
          <w:rFonts w:ascii="Times New Roman" w:cs="Times New Roman" w:hAnsi="Times New Roman"/>
          <w:sz w:val="24"/>
          <w:szCs w:val="24"/>
        </w:rPr>
        <w:t>были использованы полученные структур</w:t>
      </w:r>
      <w:r>
        <w:rPr>
          <w:rFonts w:ascii="Times New Roman" w:cs="Times New Roman" w:hAnsi="Times New Roman"/>
          <w:sz w:val="24"/>
          <w:szCs w:val="24"/>
        </w:rPr>
        <w:t>ные данные и</w:t>
      </w:r>
      <w:r>
        <w:rPr>
          <w:rFonts w:ascii="Times New Roman" w:cs="Times New Roman" w:hAnsi="Times New Roman"/>
          <w:sz w:val="24"/>
          <w:szCs w:val="24"/>
        </w:rPr>
        <w:t xml:space="preserve"> имеющие</w:t>
      </w:r>
      <w:r>
        <w:rPr>
          <w:rFonts w:ascii="Times New Roman" w:cs="Times New Roman" w:hAnsi="Times New Roman"/>
          <w:sz w:val="24"/>
          <w:szCs w:val="24"/>
        </w:rPr>
        <w:t>ся результат</w:t>
      </w:r>
      <w:r>
        <w:rPr>
          <w:rFonts w:ascii="Times New Roman" w:cs="Times New Roman" w:hAnsi="Times New Roman"/>
          <w:sz w:val="24"/>
          <w:szCs w:val="24"/>
        </w:rPr>
        <w:t>ы</w:t>
      </w:r>
      <w:r>
        <w:rPr>
          <w:rFonts w:ascii="Times New Roman" w:cs="Times New Roman" w:hAnsi="Times New Roman"/>
          <w:sz w:val="24"/>
          <w:szCs w:val="24"/>
        </w:rPr>
        <w:t xml:space="preserve"> опробования </w:t>
      </w:r>
      <w:r>
        <w:rPr>
          <w:rFonts w:ascii="Times New Roman" w:cs="Times New Roman" w:hAnsi="Times New Roman"/>
          <w:sz w:val="24"/>
          <w:szCs w:val="24"/>
        </w:rPr>
        <w:t xml:space="preserve">214 </w:t>
      </w:r>
      <w:r>
        <w:rPr>
          <w:rFonts w:ascii="Times New Roman" w:cs="Times New Roman" w:hAnsi="Times New Roman"/>
          <w:sz w:val="24"/>
          <w:szCs w:val="24"/>
        </w:rPr>
        <w:t xml:space="preserve">разведочных и эксплуатационно-разведочных скважин.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 целью увеличения достоверности все пробы были </w:t>
      </w:r>
      <w:r>
        <w:rPr>
          <w:rFonts w:ascii="Times New Roman" w:cs="Times New Roman" w:hAnsi="Times New Roman"/>
          <w:sz w:val="24"/>
          <w:szCs w:val="24"/>
        </w:rPr>
        <w:t>композированы</w:t>
      </w:r>
      <w:r>
        <w:rPr>
          <w:rFonts w:ascii="Times New Roman" w:cs="Times New Roman" w:hAnsi="Times New Roman"/>
          <w:sz w:val="24"/>
          <w:szCs w:val="24"/>
        </w:rPr>
        <w:t xml:space="preserve"> по длине</w:t>
      </w:r>
      <w:r>
        <w:rPr>
          <w:rFonts w:ascii="Times New Roman" w:cs="Times New Roman" w:hAnsi="Times New Roman"/>
          <w:sz w:val="24"/>
          <w:szCs w:val="24"/>
        </w:rPr>
        <w:t xml:space="preserve"> интервала</w:t>
      </w:r>
      <w:r>
        <w:rPr>
          <w:rFonts w:ascii="Times New Roman" w:cs="Times New Roman" w:hAnsi="Times New Roman"/>
          <w:sz w:val="24"/>
          <w:szCs w:val="24"/>
        </w:rPr>
        <w:t xml:space="preserve"> 2 метра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Устья скважины</w:t>
      </w:r>
      <w:r>
        <w:rPr>
          <w:rFonts w:ascii="Times New Roman" w:cs="Times New Roman" w:hAnsi="Times New Roman"/>
          <w:sz w:val="24"/>
          <w:szCs w:val="24"/>
        </w:rPr>
        <w:t xml:space="preserve"> были вынесены на схему согласно имеющимся координатам, а </w:t>
      </w:r>
      <w:r>
        <w:rPr>
          <w:rFonts w:ascii="Times New Roman" w:cs="Times New Roman" w:hAnsi="Times New Roman"/>
          <w:sz w:val="24"/>
          <w:szCs w:val="24"/>
        </w:rPr>
        <w:t>мощности рудных тел и содержания</w:t>
      </w:r>
      <w:r>
        <w:rPr>
          <w:rFonts w:ascii="Times New Roman" w:cs="Times New Roman" w:hAnsi="Times New Roman"/>
          <w:sz w:val="24"/>
          <w:szCs w:val="24"/>
        </w:rPr>
        <w:t xml:space="preserve"> полезного компонента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  <w:lang w:val="en-US"/>
        </w:rPr>
        <w:t>Al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были интерполированы </w:t>
      </w:r>
      <w:r>
        <w:rPr>
          <w:rFonts w:ascii="Times New Roman" w:cs="Times New Roman" w:hAnsi="Times New Roman"/>
          <w:sz w:val="24"/>
          <w:szCs w:val="24"/>
        </w:rPr>
        <w:t xml:space="preserve">в межскважинное пространство </w:t>
      </w:r>
      <w:r>
        <w:rPr>
          <w:rFonts w:ascii="Times New Roman" w:cs="Times New Roman" w:hAnsi="Times New Roman"/>
          <w:sz w:val="24"/>
          <w:szCs w:val="24"/>
        </w:rPr>
        <w:t>методом ближайшего соседа.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</w:rPr>
        <w:t xml:space="preserve">а основании сети скважин, </w:t>
      </w:r>
      <w:r>
        <w:rPr>
          <w:rFonts w:ascii="Times New Roman" w:cs="Times New Roman" w:hAnsi="Times New Roman"/>
          <w:sz w:val="24"/>
          <w:szCs w:val="24"/>
        </w:rPr>
        <w:t>были построены так называемые</w:t>
      </w:r>
      <w:r>
        <w:rPr>
          <w:rFonts w:ascii="Times New Roman" w:cs="Times New Roman" w:hAnsi="Times New Roman"/>
          <w:sz w:val="24"/>
          <w:szCs w:val="24"/>
        </w:rPr>
        <w:t xml:space="preserve"> диаграмм</w:t>
      </w:r>
      <w:r>
        <w:rPr>
          <w:rFonts w:ascii="Times New Roman" w:cs="Times New Roman" w:hAnsi="Times New Roman"/>
          <w:sz w:val="24"/>
          <w:szCs w:val="24"/>
        </w:rPr>
        <w:t>ы Вороного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или полигоны</w:t>
      </w:r>
      <w:r>
        <w:rPr>
          <w:rFonts w:ascii="Times New Roman" w:cs="Times New Roman" w:hAnsi="Times New Roman"/>
          <w:sz w:val="24"/>
          <w:szCs w:val="24"/>
        </w:rPr>
        <w:t xml:space="preserve"> Тиссена. В дальнейшем </w:t>
      </w:r>
      <w:r>
        <w:rPr>
          <w:rFonts w:ascii="Times New Roman" w:cs="Times New Roman" w:hAnsi="Times New Roman"/>
          <w:sz w:val="24"/>
          <w:szCs w:val="24"/>
        </w:rPr>
        <w:t>всё</w:t>
      </w:r>
      <w:r>
        <w:rPr>
          <w:rFonts w:ascii="Times New Roman" w:cs="Times New Roman" w:hAnsi="Times New Roman"/>
          <w:sz w:val="24"/>
          <w:szCs w:val="24"/>
        </w:rPr>
        <w:t xml:space="preserve"> рудное тело </w:t>
      </w:r>
      <w:r>
        <w:rPr>
          <w:rFonts w:ascii="Times New Roman" w:cs="Times New Roman" w:hAnsi="Times New Roman"/>
          <w:sz w:val="24"/>
          <w:szCs w:val="24"/>
        </w:rPr>
        <w:t>рассматрива</w:t>
      </w:r>
      <w:r>
        <w:rPr>
          <w:rFonts w:ascii="Times New Roman" w:cs="Times New Roman" w:hAnsi="Times New Roman"/>
          <w:sz w:val="24"/>
          <w:szCs w:val="24"/>
        </w:rPr>
        <w:t>лось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 качестве совокупности блоков, площадь которых ограничена полученными полигонами, а </w:t>
      </w:r>
      <w:r>
        <w:rPr>
          <w:rFonts w:ascii="Times New Roman" w:cs="Times New Roman" w:hAnsi="Times New Roman"/>
          <w:sz w:val="24"/>
          <w:szCs w:val="24"/>
        </w:rPr>
        <w:t xml:space="preserve">за </w:t>
      </w:r>
      <w:r>
        <w:rPr>
          <w:rFonts w:ascii="Times New Roman" w:cs="Times New Roman" w:hAnsi="Times New Roman"/>
          <w:sz w:val="24"/>
          <w:szCs w:val="24"/>
        </w:rPr>
        <w:t>высот</w:t>
      </w: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 xml:space="preserve"> таких блоков </w:t>
      </w:r>
      <w:r>
        <w:rPr>
          <w:rFonts w:ascii="Times New Roman" w:cs="Times New Roman" w:hAnsi="Times New Roman"/>
          <w:sz w:val="24"/>
          <w:szCs w:val="24"/>
        </w:rPr>
        <w:t>принималась</w:t>
      </w:r>
      <w:r>
        <w:rPr>
          <w:rFonts w:ascii="Times New Roman" w:cs="Times New Roman" w:hAnsi="Times New Roman"/>
          <w:sz w:val="24"/>
          <w:szCs w:val="24"/>
        </w:rPr>
        <w:t xml:space="preserve"> мощность </w:t>
      </w:r>
      <w:r>
        <w:rPr>
          <w:rFonts w:ascii="Times New Roman" w:cs="Times New Roman" w:hAnsi="Times New Roman"/>
          <w:sz w:val="24"/>
          <w:szCs w:val="24"/>
        </w:rPr>
        <w:t>рудного тела на данном участке. Масса</w:t>
      </w:r>
      <w:r>
        <w:rPr>
          <w:rFonts w:ascii="Times New Roman" w:cs="Times New Roman" w:hAnsi="Times New Roman"/>
          <w:sz w:val="24"/>
          <w:szCs w:val="24"/>
        </w:rPr>
        <w:t xml:space="preserve"> полезного компонента</w:t>
      </w:r>
      <w:r>
        <w:rPr>
          <w:rFonts w:ascii="Times New Roman" w:cs="Times New Roman" w:hAnsi="Times New Roman"/>
          <w:sz w:val="24"/>
          <w:szCs w:val="24"/>
        </w:rPr>
        <w:t>, заключенного</w:t>
      </w:r>
      <w:r>
        <w:rPr>
          <w:rFonts w:ascii="Times New Roman" w:cs="Times New Roman" w:hAnsi="Times New Roman"/>
          <w:sz w:val="24"/>
          <w:szCs w:val="24"/>
        </w:rPr>
        <w:t xml:space="preserve"> в объеме блока</w:t>
      </w:r>
      <w:r>
        <w:rPr>
          <w:rFonts w:ascii="Times New Roman" w:cs="Times New Roman" w:hAnsi="Times New Roman"/>
          <w:sz w:val="24"/>
          <w:szCs w:val="24"/>
        </w:rPr>
        <w:t xml:space="preserve"> вычисл</w:t>
      </w:r>
      <w:r>
        <w:rPr>
          <w:rFonts w:ascii="Times New Roman" w:cs="Times New Roman" w:hAnsi="Times New Roman"/>
          <w:sz w:val="24"/>
          <w:szCs w:val="24"/>
        </w:rPr>
        <w:t>ялась</w:t>
      </w:r>
      <w:r>
        <w:rPr>
          <w:rFonts w:ascii="Times New Roman" w:cs="Times New Roman" w:hAnsi="Times New Roman"/>
          <w:sz w:val="24"/>
          <w:szCs w:val="24"/>
        </w:rPr>
        <w:t xml:space="preserve"> по формуле</w:t>
      </w:r>
      <w:r>
        <w:rPr>
          <w:rFonts w:ascii="Times New Roman" w:cs="Times New Roman" w:hAnsi="Times New Roman"/>
          <w:sz w:val="24"/>
          <w:szCs w:val="24"/>
        </w:rPr>
        <w:t>:</w:t>
      </w:r>
      <m:oMath>
        <m:r>
          <w:rPr>
            <w:rFonts w:ascii="Cambria Math" w:cs="Times New Roman" w:eastAsia="Cambria Math" w:hAnsi="Cambria Math"/>
            <w:color w:val="000000"/>
            <w:spacing w:val="-30"/>
            <w:kern w:val="24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cs="Times New Roman" w:eastAsia="Cambria Math" w:hAnsi="Cambria Math"/>
                <w:i/>
                <w:iCs/>
                <w:color w:val="000000"/>
                <w:spacing w:val="-30"/>
                <w:kern w:val="24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cs="Times New Roman" w:eastAsia="Cambria Math" w:hAnsi="Cambria Math"/>
                <w:color w:val="000000"/>
                <w:spacing w:val="-30"/>
                <w:kern w:val="24"/>
                <w:sz w:val="24"/>
                <w:szCs w:val="24"/>
                <w:lang w:val="en-US"/>
              </w:rPr>
              <m:t>Q</m:t>
            </m:r>
          </m:e>
          <m:sub>
            <m:sSub>
              <m:sSubPr>
                <m:ctrlPr>
                  <w:rPr>
                    <w:rFonts w:ascii="Cambria Math" w:cs="Times New Roman" w:eastAsia="Cambria Math" w:hAnsi="Cambria Math"/>
                    <w:i/>
                    <w:iCs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  <m:t>Al</m:t>
                </m:r>
              </m:e>
              <m:sub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cs="Times New Roman" w:eastAsia="Cambria Math" w:hAnsi="Cambria Math"/>
                    <w:i/>
                    <w:iCs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</w:rPr>
                  <m:t>3</m:t>
                </m:r>
              </m:sub>
            </m:sSub>
          </m:sub>
        </m:sSub>
        <m:r>
          <w:rPr>
            <w:rFonts w:ascii="Cambria Math" w:cs="Times New Roman" w:hAnsi="Cambria Math"/>
            <w:color w:val="000000"/>
            <w:spacing w:val="-30"/>
            <w:kern w:val="24"/>
            <w:sz w:val="24"/>
            <w:szCs w:val="24"/>
          </w:rPr>
          <m:t>=</m:t>
        </m:r>
        <m:r>
          <w:rPr>
            <w:rFonts w:ascii="Cambria Math" w:cs="Times New Roman" w:hAnsi="Cambria Math"/>
            <w:color w:val="000000"/>
            <w:spacing w:val="-30"/>
            <w:kern w:val="24"/>
            <w:sz w:val="24"/>
            <w:szCs w:val="24"/>
            <w:lang w:val="en-US"/>
          </w:rPr>
          <m:t>S</m:t>
        </m:r>
        <m:r>
          <w:rPr>
            <w:rFonts w:ascii="Cambria Math" w:cs="Times New Roman" w:eastAsia="Cambria Math" w:hAnsi="Cambria Math"/>
            <w:color w:val="000000"/>
            <w:spacing w:val="-30"/>
            <w:kern w:val="24"/>
            <w:sz w:val="24"/>
            <w:szCs w:val="24"/>
          </w:rPr>
          <m:t>×</m:t>
        </m:r>
        <m:r>
          <w:rPr>
            <w:rFonts w:ascii="Cambria Math" w:cs="Times New Roman" w:eastAsia="Cambria Math" w:hAnsi="Cambria Math"/>
            <w:color w:val="000000"/>
            <w:spacing w:val="-30"/>
            <w:kern w:val="24"/>
            <w:sz w:val="24"/>
            <w:szCs w:val="24"/>
            <w:lang w:val="en-US"/>
          </w:rPr>
          <m:t>M</m:t>
        </m:r>
        <m:r>
          <w:rPr>
            <w:rFonts w:ascii="Cambria Math" w:cs="Times New Roman" w:eastAsia="Cambria Math" w:hAnsi="Cambria Math"/>
            <w:color w:val="000000"/>
            <w:spacing w:val="-30"/>
            <w:kern w:val="24"/>
            <w:sz w:val="24"/>
            <w:szCs w:val="24"/>
          </w:rPr>
          <m:t>×</m:t>
        </m:r>
        <m:r>
          <w:rPr>
            <w:rFonts w:ascii="Cambria Math" w:cs="Times New Roman" w:eastAsia="Cambria Math" w:hAnsi="Cambria Math"/>
            <w:color w:val="000000"/>
            <w:spacing w:val="-30"/>
            <w:kern w:val="24"/>
            <w:sz w:val="24"/>
            <w:szCs w:val="24"/>
            <w:lang w:val="en-US"/>
          </w:rPr>
          <m:t>D</m:t>
        </m:r>
        <m:r>
          <w:rPr>
            <w:rFonts w:ascii="Cambria Math" w:cs="Times New Roman" w:eastAsia="Cambria Math" w:hAnsi="Cambria Math"/>
            <w:color w:val="000000"/>
            <w:spacing w:val="-30"/>
            <w:kern w:val="24"/>
            <w:sz w:val="24"/>
            <w:szCs w:val="24"/>
          </w:rPr>
          <m:t>×</m:t>
        </m:r>
        <m:f>
          <m:fPr>
            <m:ctrlPr>
              <w:rPr>
                <w:rFonts w:ascii="Cambria Math" w:cs="Times New Roman" w:eastAsia="Cambria Math" w:hAnsi="Cambria Math"/>
                <w:i/>
                <w:iCs/>
                <w:color w:val="000000"/>
                <w:spacing w:val="-30"/>
                <w:kern w:val="24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cs="Times New Roman" w:eastAsia="Cambria Math" w:hAnsi="Cambria Math"/>
                    <w:i/>
                    <w:iCs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cs="Times New Roman" w:eastAsia="Cambria Math" w:hAnsi="Cambria Math"/>
                        <w:i/>
                        <w:iCs/>
                        <w:color w:val="000000"/>
                        <w:spacing w:val="-30"/>
                        <w:kern w:val="24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cs="Times New Roman" w:eastAsia="Cambria Math" w:hAnsi="Cambria Math"/>
                        <w:color w:val="000000"/>
                        <w:spacing w:val="-30"/>
                        <w:kern w:val="24"/>
                        <w:sz w:val="24"/>
                        <w:szCs w:val="24"/>
                        <w:lang w:val="en-US"/>
                      </w:rPr>
                      <m:t>Al</m:t>
                    </m:r>
                  </m:e>
                  <m:sub>
                    <m:r>
                      <w:rPr>
                        <w:rFonts w:ascii="Cambria Math" w:cs="Times New Roman" w:eastAsia="Cambria Math" w:hAnsi="Cambria Math"/>
                        <w:color w:val="000000"/>
                        <w:spacing w:val="-30"/>
                        <w:kern w:val="24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cs="Times New Roman" w:eastAsia="Cambria Math" w:hAnsi="Cambria Math"/>
                        <w:i/>
                        <w:iCs/>
                        <w:color w:val="000000"/>
                        <w:spacing w:val="-30"/>
                        <w:kern w:val="24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cs="Times New Roman" w:eastAsia="Cambria Math" w:hAnsi="Cambria Math"/>
                        <w:color w:val="000000"/>
                        <w:spacing w:val="-30"/>
                        <w:kern w:val="24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cs="Times New Roman" w:eastAsia="Cambria Math" w:hAnsi="Cambria Math"/>
                        <w:color w:val="000000"/>
                        <w:spacing w:val="-30"/>
                        <w:kern w:val="24"/>
                        <w:sz w:val="24"/>
                        <w:szCs w:val="24"/>
                      </w:rPr>
                      <m:t>3</m:t>
                    </m:r>
                  </m:sub>
                </m:sSub>
              </m:sub>
            </m:sSub>
          </m:num>
          <m:den>
            <m:r>
              <w:rPr>
                <w:rFonts w:ascii="Cambria Math" w:cs="Times New Roman" w:eastAsia="Cambria Math" w:hAnsi="Cambria Math"/>
                <w:color w:val="000000"/>
                <w:spacing w:val="-30"/>
                <w:kern w:val="24"/>
                <w:sz w:val="24"/>
                <w:szCs w:val="24"/>
              </w:rPr>
              <m:t>100%</m:t>
            </m:r>
          </m:den>
        </m:f>
      </m:oMath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где </w:t>
      </w:r>
      <w:r>
        <w:rPr>
          <w:rFonts w:ascii="Times New Roman" w:cs="Times New Roman" w:hAnsi="Times New Roman"/>
          <w:i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 – </w:t>
      </w:r>
      <w:r>
        <w:rPr>
          <w:rFonts w:ascii="Times New Roman" w:cs="Times New Roman" w:hAnsi="Times New Roman"/>
          <w:sz w:val="24"/>
          <w:szCs w:val="24"/>
        </w:rPr>
        <w:t>площадь полигона Вороного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cs="Times New Roman" w:hAnsi="Times New Roman"/>
          <w:sz w:val="24"/>
          <w:szCs w:val="24"/>
        </w:rPr>
        <w:t> – </w:t>
      </w:r>
      <w:r>
        <w:rPr>
          <w:rFonts w:ascii="Times New Roman" w:cs="Times New Roman" w:hAnsi="Times New Roman"/>
          <w:sz w:val="24"/>
          <w:szCs w:val="24"/>
        </w:rPr>
        <w:t xml:space="preserve">мощность рудного тела в пределах полигона, </w:t>
      </w:r>
      <w:r>
        <w:rPr>
          <w:rFonts w:ascii="Times New Roman" w:cs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плотность руд, </w:t>
      </w:r>
      <m:oMath>
        <m:sSub>
          <m:sSubPr>
            <m:ctrlPr>
              <w:rPr>
                <w:rFonts w:ascii="Cambria Math" w:cs="Times New Roman" w:eastAsia="Cambria Math" w:hAnsi="Cambria Math"/>
                <w:i/>
                <w:iCs/>
                <w:color w:val="000000"/>
                <w:spacing w:val="-30"/>
                <w:kern w:val="24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cs="Times New Roman" w:eastAsia="Cambria Math" w:hAnsi="Cambria Math"/>
                <w:color w:val="000000"/>
                <w:spacing w:val="-30"/>
                <w:kern w:val="24"/>
                <w:sz w:val="24"/>
                <w:szCs w:val="24"/>
                <w:lang w:val="en-US"/>
              </w:rPr>
              <m:t>C</m:t>
            </m:r>
          </m:e>
          <m:sub>
            <m:sSub>
              <m:sSubPr>
                <m:ctrlPr>
                  <w:rPr>
                    <w:rFonts w:ascii="Cambria Math" w:cs="Times New Roman" w:eastAsia="Cambria Math" w:hAnsi="Cambria Math"/>
                    <w:i/>
                    <w:iCs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  <m:t>Al</m:t>
                </m:r>
              </m:e>
              <m:sub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cs="Times New Roman" w:eastAsia="Cambria Math" w:hAnsi="Cambria Math"/>
                    <w:i/>
                    <w:iCs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cs="Times New Roman" w:eastAsia="Cambria Math" w:hAnsi="Cambria Math"/>
                    <w:color w:val="000000"/>
                    <w:spacing w:val="-30"/>
                    <w:kern w:val="24"/>
                    <w:sz w:val="24"/>
                    <w:szCs w:val="24"/>
                  </w:rPr>
                  <m:t>3</m:t>
                </m:r>
              </m:sub>
            </m:sSub>
          </m:sub>
        </m:sSub>
      </m:oMath>
      <w:r>
        <w:rPr>
          <w:rFonts w:ascii="Times New Roman" w:cs="Times New Roman" w:hAnsi="Times New Roman"/>
          <w:sz w:val="24"/>
          <w:szCs w:val="24"/>
          <w:vertAlign w:val="subscript"/>
        </w:rPr>
        <w:t> 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содержание глинозема в руде в пределах полигона. Подобным образом становится возможным оценить массу глинозема, заключенную в пределах промы</w:t>
      </w:r>
      <w:r>
        <w:rPr>
          <w:rFonts w:ascii="Times New Roman" w:cs="Times New Roman" w:hAnsi="Times New Roman"/>
          <w:sz w:val="24"/>
          <w:szCs w:val="24"/>
        </w:rPr>
        <w:t>шленного контура бокситовых тел.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 результате </w:t>
      </w:r>
      <w:r>
        <w:rPr>
          <w:rFonts w:ascii="Times New Roman" w:cs="Times New Roman" w:hAnsi="Times New Roman"/>
          <w:sz w:val="24"/>
          <w:szCs w:val="24"/>
        </w:rPr>
        <w:t xml:space="preserve">подобных расчетов </w:t>
      </w:r>
      <w:r>
        <w:rPr>
          <w:rFonts w:ascii="Times New Roman" w:cs="Times New Roman" w:hAnsi="Times New Roman"/>
          <w:sz w:val="24"/>
          <w:szCs w:val="24"/>
        </w:rPr>
        <w:t xml:space="preserve">общая масса руды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составила </w:t>
      </w:r>
      <w:r>
        <w:rPr>
          <w:rFonts w:ascii="Times New Roman" w:cs="Times New Roman" w:hAnsi="Times New Roman"/>
          <w:sz w:val="24"/>
          <w:szCs w:val="24"/>
        </w:rPr>
        <w:t>974 тыс. </w:t>
      </w:r>
      <w:r>
        <w:rPr>
          <w:rFonts w:ascii="Times New Roman" w:cs="Times New Roman" w:hAnsi="Times New Roman"/>
          <w:sz w:val="24"/>
          <w:szCs w:val="24"/>
        </w:rPr>
        <w:t>т., а суммарная масса глинозема </w:t>
      </w:r>
      <w:r>
        <w:rPr>
          <w:rFonts w:ascii="Times New Roman" w:cs="Times New Roman" w:hAnsi="Times New Roman"/>
          <w:sz w:val="24"/>
          <w:szCs w:val="24"/>
        </w:rPr>
        <w:t>—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408,5 тыс. т.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ре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зультате проделанной работы: </w:t>
      </w:r>
    </w:p>
    <w:p>
      <w:pPr>
        <w:pStyle w:val="style179"/>
        <w:numPr>
          <w:ilvl w:val="0"/>
          <w:numId w:val="1"/>
        </w:numPr>
        <w:spacing w:after="0" w:lineRule="auto" w:line="240"/>
        <w:ind w:left="0" w:firstLine="567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определена позиция бокситорудного тела относительно морфологических особенностей древнего рельефа;</w:t>
      </w:r>
    </w:p>
    <w:p>
      <w:pPr>
        <w:pStyle w:val="style179"/>
        <w:numPr>
          <w:ilvl w:val="0"/>
          <w:numId w:val="1"/>
        </w:numPr>
        <w:spacing w:after="0" w:lineRule="auto" w:line="240"/>
        <w:ind w:left="0" w:firstLine="567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определены закономерности распределения мощностей рудного тела относительно участков </w:t>
      </w:r>
      <w:r>
        <w:rPr>
          <w:rFonts w:ascii="Times New Roman" w:cs="Times New Roman" w:hAnsi="Times New Roman"/>
          <w:sz w:val="24"/>
          <w:szCs w:val="24"/>
        </w:rPr>
        <w:t>палеорельефа</w:t>
      </w:r>
      <w:r>
        <w:rPr>
          <w:rFonts w:ascii="Times New Roman" w:cs="Times New Roman" w:hAnsi="Times New Roman"/>
          <w:sz w:val="24"/>
          <w:szCs w:val="24"/>
        </w:rPr>
        <w:t xml:space="preserve"> рассматриваемого района;</w:t>
      </w:r>
    </w:p>
    <w:p>
      <w:pPr>
        <w:pStyle w:val="style179"/>
        <w:numPr>
          <w:ilvl w:val="0"/>
          <w:numId w:val="1"/>
        </w:numPr>
        <w:spacing w:after="0" w:lineRule="auto" w:line="240"/>
        <w:ind w:left="0" w:firstLine="567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изучено распределение наиболее продуктивных участков в объеме рудного тела;</w:t>
      </w:r>
    </w:p>
    <w:p>
      <w:pPr>
        <w:pStyle w:val="style179"/>
        <w:numPr>
          <w:ilvl w:val="0"/>
          <w:numId w:val="1"/>
        </w:numPr>
        <w:spacing w:after="0" w:lineRule="auto" w:line="240"/>
        <w:ind w:left="0" w:firstLine="567"/>
        <w:jc w:val="both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путем составления схемы </w:t>
      </w:r>
      <w:r>
        <w:rPr>
          <w:rFonts w:ascii="Times New Roman" w:cs="Times New Roman" w:hAnsi="Times New Roman"/>
          <w:sz w:val="24"/>
          <w:szCs w:val="24"/>
        </w:rPr>
        <w:t>палеорельефа</w:t>
      </w:r>
      <w:r>
        <w:rPr>
          <w:rFonts w:ascii="Times New Roman" w:cs="Times New Roman" w:hAnsi="Times New Roman"/>
          <w:sz w:val="24"/>
          <w:szCs w:val="24"/>
        </w:rPr>
        <w:t xml:space="preserve"> и </w:t>
      </w:r>
      <w:r>
        <w:rPr>
          <w:rFonts w:ascii="Times New Roman" w:cs="Times New Roman" w:hAnsi="Times New Roman"/>
          <w:sz w:val="24"/>
          <w:szCs w:val="24"/>
        </w:rPr>
        <w:t>блокировки рудного тела</w:t>
      </w:r>
      <w:r>
        <w:rPr>
          <w:rFonts w:ascii="Times New Roman" w:cs="Times New Roman" w:hAnsi="Times New Roman"/>
          <w:sz w:val="24"/>
          <w:szCs w:val="24"/>
        </w:rPr>
        <w:t xml:space="preserve"> были вычислены </w:t>
      </w:r>
      <w:r>
        <w:rPr>
          <w:rFonts w:ascii="Times New Roman" w:cs="Times New Roman" w:hAnsi="Times New Roman"/>
          <w:sz w:val="24"/>
          <w:szCs w:val="24"/>
        </w:rPr>
        <w:t>запасы</w:t>
      </w:r>
      <w:r>
        <w:rPr>
          <w:rFonts w:ascii="Times New Roman" w:cs="Times New Roman" w:hAnsi="Times New Roman"/>
          <w:sz w:val="24"/>
          <w:szCs w:val="24"/>
        </w:rPr>
        <w:t xml:space="preserve"> бокситов</w:t>
      </w:r>
      <w:r>
        <w:rPr>
          <w:rFonts w:ascii="Times New Roman" w:cs="Times New Roman" w:hAnsi="Times New Roman"/>
          <w:sz w:val="24"/>
          <w:szCs w:val="24"/>
        </w:rPr>
        <w:t xml:space="preserve"> и глинозема</w:t>
      </w:r>
      <w:r>
        <w:rPr>
          <w:rFonts w:ascii="Times New Roman" w:cs="Times New Roman" w:hAnsi="Times New Roman"/>
          <w:sz w:val="24"/>
          <w:szCs w:val="24"/>
        </w:rPr>
        <w:t xml:space="preserve"> в пределах </w:t>
      </w:r>
      <w:r>
        <w:rPr>
          <w:rFonts w:ascii="Times New Roman" w:cs="Times New Roman" w:hAnsi="Times New Roman"/>
          <w:sz w:val="24"/>
          <w:szCs w:val="24"/>
          <w:lang w:val="en-US"/>
        </w:rPr>
        <w:t>VIII</w:t>
      </w:r>
      <w:r>
        <w:rPr>
          <w:rFonts w:ascii="Times New Roman" w:cs="Times New Roman" w:hAnsi="Times New Roman"/>
          <w:sz w:val="24"/>
          <w:szCs w:val="24"/>
        </w:rPr>
        <w:t xml:space="preserve"> участка </w:t>
      </w:r>
      <w:r>
        <w:rPr>
          <w:rFonts w:ascii="Times New Roman" w:cs="Times New Roman" w:hAnsi="Times New Roman"/>
          <w:sz w:val="24"/>
          <w:szCs w:val="24"/>
        </w:rPr>
        <w:t>Верхнеашутского</w:t>
      </w:r>
      <w:r>
        <w:rPr>
          <w:rFonts w:ascii="Times New Roman" w:cs="Times New Roman" w:hAnsi="Times New Roman"/>
          <w:sz w:val="24"/>
          <w:szCs w:val="24"/>
        </w:rPr>
        <w:t xml:space="preserve"> месторождения.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EE4638"/>
    <w:lvl w:ilvl="0" w:tplc="34E8FAD6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4DA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f81bd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432</Words>
  <Characters>3301</Characters>
  <Application>WPS Office</Application>
  <DocSecurity>0</DocSecurity>
  <Paragraphs>13</Paragraphs>
  <ScaleCrop>false</ScaleCrop>
  <Company>МГУ им. М.В. Ломоносова</Company>
  <LinksUpToDate>false</LinksUpToDate>
  <CharactersWithSpaces>3780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2016-04-15T08:07:58Z</dcterms:created>
  <dc:creator>Сивков Дмитрий Васильевич</dc:creator>
  <lastModifiedBy>Lenovo X2-EU</lastModifiedBy>
  <lastPrinted>2016-04-13T08:29:00Z</lastPrinted>
  <dcterms:modified xsi:type="dcterms:W3CDTF">2016-04-15T08:07:58Z</dcterms:modified>
  <revision>5</revision>
</coreProperties>
</file>