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ah3cqr69ucll" w:id="0"/>
      <w:bookmarkEnd w:id="0"/>
      <w:r w:rsidDel="00000000" w:rsidR="00000000" w:rsidRPr="00000000">
        <w:rPr>
          <w:rtl w:val="0"/>
        </w:rPr>
        <w:t xml:space="preserve">Темы проектов для конкурса “Инженер 2.0” от компании ООО “Интегра Сорсес”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ЭЭГ в повседневной жизни. </w:t>
      </w:r>
      <w:r w:rsidDel="00000000" w:rsidR="00000000" w:rsidRPr="00000000">
        <w:rPr>
          <w:rtl w:val="0"/>
        </w:rPr>
        <w:t xml:space="preserve">Варианты: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управление игрой в какой-нибудь платформер, например, SuperMario. Игру можно взять любую готовую. Необходимо реализовать только управление при помощи энцефалографа;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управление музыкальным проигрывателем;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отслеживание трудоспособности школьников/студентов во время занятий;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управление умным домом или любыми другими IoT устройствами;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свой вариант.</w:t>
      </w:r>
    </w:p>
    <w:p w:rsidR="00000000" w:rsidDel="00000000" w:rsidP="00000000" w:rsidRDefault="00000000" w:rsidRPr="00000000" w14:paraId="0000000B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ООО “Интегра Сорсес” предоставит устройства BLE ЭЭГ Muse и Muse 2 (https://choosemuse.com) для выполнения задания.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  <w:t xml:space="preserve">Тэги: Обработка сигналов, программирование, машинное обучение, BLE. 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Распознавание пожаров и последствий пожаров по изображениям со спутника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Примеры изображений можно взять с ресурса https://scihub.copernicus.eu/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Тэги: Программирование, Компьютерное зрение, Software development, Computer vision, OpenCV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Программа-транслятор классических makefile’ов в формат CMake или аналогичные.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Тэги: Программирование, компиляция программ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Библиотека поддержки рефлексии для С++ для сериализации и отображения типов данных, определенных пользователем, в сущности БД.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 xml:space="preserve">Тэги: Программирование, ООП, обобщенное программирование, метапрограммирование, C++</w:t>
      </w:r>
    </w:p>
    <w:p w:rsidR="00000000" w:rsidDel="00000000" w:rsidP="00000000" w:rsidRDefault="00000000" w:rsidRPr="00000000" w14:paraId="00000016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Измерение энергопотребления носимых устройств</w:t>
      </w:r>
      <w:r w:rsidDel="00000000" w:rsidR="00000000" w:rsidRPr="00000000">
        <w:rPr>
          <w:b w:val="1"/>
          <w:rtl w:val="0"/>
        </w:rPr>
        <w:t xml:space="preserve"> для оценки времени работы от батареи. </w:t>
      </w:r>
      <w:r w:rsidDel="00000000" w:rsidR="00000000" w:rsidRPr="00000000">
        <w:rPr>
          <w:rtl w:val="0"/>
        </w:rPr>
        <w:t xml:space="preserve">Дополнительные условия: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пусть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в качестве батареи в носимых устройствах используются стандартные Li-ion, Ly-poly аккумуляторы, либо элементы питания с напряжением 1,5 или 3 В. Ток потребления может меняться от 0,1 мА до 500 мА.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Тэги: Носимая электроника, Энергопотребление, Программирование, Разработка электроники, Прошивки, Wearable equipment, Power consumption, Firmware development, Hardware development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Управление каким-либо процессом с использованием универсального измерительного устройства RedPitaya (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https://www.redpitaya.com/</w:t>
        </w:r>
      </w:hyperlink>
      <w:r w:rsidDel="00000000" w:rsidR="00000000" w:rsidRPr="00000000">
        <w:rPr>
          <w:b w:val="1"/>
          <w:rtl w:val="0"/>
        </w:rPr>
        <w:t xml:space="preserve">). </w:t>
      </w:r>
      <w:r w:rsidDel="00000000" w:rsidR="00000000" w:rsidRPr="00000000">
        <w:rPr>
          <w:rtl w:val="0"/>
        </w:rPr>
        <w:t xml:space="preserve">Варианты: управление роботом, управление термокамерой, управление гидравлической системой, свой вариант.</w:t>
      </w:r>
    </w:p>
    <w:p w:rsidR="00000000" w:rsidDel="00000000" w:rsidP="00000000" w:rsidRDefault="00000000" w:rsidRPr="00000000" w14:paraId="0000001B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ООО “Интегра Сорсес” предоставит устройства STEMlab 125-14 для реализации проекта.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* Для решения задач ООО “Интегра Сорсес” готово предоставить доступ к техническим и информационным ресурсам.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redpitay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