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DA" w:rsidRPr="00F81CDA" w:rsidRDefault="00F81CDA" w:rsidP="00F81CDA">
      <w:pPr>
        <w:shd w:val="clear" w:color="auto" w:fill="FFFFFF"/>
        <w:suppressAutoHyphens/>
        <w:ind w:left="-142"/>
        <w:jc w:val="center"/>
        <w:rPr>
          <w:b/>
          <w:sz w:val="28"/>
        </w:rPr>
      </w:pPr>
      <w:r w:rsidRPr="00F81CDA">
        <w:rPr>
          <w:b/>
          <w:sz w:val="28"/>
        </w:rPr>
        <w:t xml:space="preserve">Требования к оформлению статьи в сборник материалов </w:t>
      </w:r>
    </w:p>
    <w:p w:rsidR="00F81CDA" w:rsidRPr="00F81CDA" w:rsidRDefault="00F81CDA" w:rsidP="00F81CDA">
      <w:pPr>
        <w:shd w:val="clear" w:color="auto" w:fill="FFFFFF"/>
        <w:suppressAutoHyphens/>
        <w:ind w:left="-142"/>
        <w:jc w:val="center"/>
        <w:rPr>
          <w:b/>
          <w:sz w:val="28"/>
        </w:rPr>
      </w:pPr>
      <w:r w:rsidRPr="00F81CDA">
        <w:rPr>
          <w:b/>
          <w:sz w:val="28"/>
        </w:rPr>
        <w:t xml:space="preserve">научно-практических конференций </w:t>
      </w:r>
    </w:p>
    <w:p w:rsidR="00F81CDA" w:rsidRPr="00F81CDA" w:rsidRDefault="00F81CDA" w:rsidP="00F81CDA">
      <w:pPr>
        <w:shd w:val="clear" w:color="auto" w:fill="FFFFFF"/>
        <w:suppressAutoHyphens/>
        <w:ind w:left="-142"/>
        <w:jc w:val="center"/>
        <w:rPr>
          <w:b/>
          <w:sz w:val="28"/>
        </w:rPr>
      </w:pPr>
    </w:p>
    <w:p w:rsidR="00F81CDA" w:rsidRPr="00F81CDA" w:rsidRDefault="00F81CDA" w:rsidP="00F81CDA">
      <w:pPr>
        <w:widowControl w:val="0"/>
        <w:suppressAutoHyphens/>
        <w:ind w:left="-142" w:firstLine="397"/>
        <w:jc w:val="both"/>
      </w:pPr>
      <w:r w:rsidRPr="00F81CDA">
        <w:rPr>
          <w:b/>
          <w:bCs/>
        </w:rPr>
        <w:t xml:space="preserve">Оформление. Объем </w:t>
      </w:r>
      <w:r w:rsidRPr="00F81CDA">
        <w:t>статьи – до 3-х страниц.</w:t>
      </w:r>
      <w:r w:rsidRPr="00F81CDA">
        <w:rPr>
          <w:b/>
          <w:bCs/>
        </w:rPr>
        <w:t xml:space="preserve"> Файл </w:t>
      </w:r>
      <w:r w:rsidRPr="00F81CDA">
        <w:t>предоставляется в формате *.</w:t>
      </w:r>
      <w:r w:rsidRPr="00F81CDA">
        <w:rPr>
          <w:lang w:val="en-US"/>
        </w:rPr>
        <w:t>doc</w:t>
      </w:r>
      <w:r w:rsidRPr="00F81CDA">
        <w:t xml:space="preserve"> или *.</w:t>
      </w:r>
      <w:proofErr w:type="spellStart"/>
      <w:r w:rsidRPr="00F81CDA">
        <w:rPr>
          <w:lang w:val="en-US"/>
        </w:rPr>
        <w:t>docx</w:t>
      </w:r>
      <w:proofErr w:type="spellEnd"/>
      <w:r w:rsidRPr="00F81CDA">
        <w:t xml:space="preserve"> (</w:t>
      </w:r>
      <w:r w:rsidRPr="00F81CDA">
        <w:rPr>
          <w:lang w:val="en-US"/>
        </w:rPr>
        <w:t>MS</w:t>
      </w:r>
      <w:r w:rsidRPr="00F81CDA">
        <w:t xml:space="preserve"> </w:t>
      </w:r>
      <w:r w:rsidRPr="00F81CDA">
        <w:rPr>
          <w:lang w:val="en-US"/>
        </w:rPr>
        <w:t>Word</w:t>
      </w:r>
      <w:r w:rsidRPr="00F81CDA">
        <w:t xml:space="preserve"> 2007-2013), шрифт - </w:t>
      </w:r>
      <w:r w:rsidRPr="00F81CDA">
        <w:rPr>
          <w:lang w:val="en-US"/>
        </w:rPr>
        <w:t>Times</w:t>
      </w:r>
      <w:r w:rsidRPr="00F81CDA">
        <w:t xml:space="preserve"> </w:t>
      </w:r>
      <w:r w:rsidRPr="00F81CDA">
        <w:rPr>
          <w:lang w:val="en-US"/>
        </w:rPr>
        <w:t>New</w:t>
      </w:r>
      <w:r w:rsidRPr="00F81CDA">
        <w:t xml:space="preserve"> </w:t>
      </w:r>
      <w:r w:rsidRPr="00F81CDA">
        <w:rPr>
          <w:lang w:val="en-US"/>
        </w:rPr>
        <w:t>Roman</w:t>
      </w:r>
      <w:r w:rsidRPr="00F81CDA">
        <w:t xml:space="preserve">, размер шрифта – 14 </w:t>
      </w:r>
      <w:proofErr w:type="spellStart"/>
      <w:r w:rsidRPr="00F81CDA">
        <w:rPr>
          <w:lang w:val="en-US"/>
        </w:rPr>
        <w:t>pt</w:t>
      </w:r>
      <w:proofErr w:type="spellEnd"/>
      <w:r w:rsidRPr="00F81CDA">
        <w:t>., межстрочный интервал – 1,2 (</w:t>
      </w:r>
      <w:r w:rsidRPr="00F81CDA">
        <w:rPr>
          <w:b/>
        </w:rPr>
        <w:t>множитель 1,2</w:t>
      </w:r>
      <w:r w:rsidRPr="00F81CDA">
        <w:t xml:space="preserve">). </w:t>
      </w:r>
      <w:r w:rsidRPr="00F81CDA">
        <w:rPr>
          <w:b/>
          <w:bCs/>
        </w:rPr>
        <w:t xml:space="preserve">Поля: </w:t>
      </w:r>
      <w:r w:rsidRPr="00F81CDA">
        <w:t xml:space="preserve">левое - 3 см; правое - 2 см; нижнее - 2 см; верхнее - 2 см. </w:t>
      </w:r>
      <w:r w:rsidRPr="00F81CDA">
        <w:rPr>
          <w:b/>
        </w:rPr>
        <w:t xml:space="preserve">Отступ </w:t>
      </w:r>
      <w:r w:rsidRPr="00F81CDA">
        <w:t>первой строки на 0,8 см. Название и номера рисунков указываются под рисунками по центру, названия и номера таблиц – над таблицами. Таблицы, схемы, рисунки, формулы, графики не должны выхо</w:t>
      </w:r>
      <w:r w:rsidRPr="00F81CDA">
        <w:softHyphen/>
        <w:t>дить за пределы указанных полей (</w:t>
      </w:r>
      <w:r w:rsidRPr="00F81CDA">
        <w:rPr>
          <w:b/>
        </w:rPr>
        <w:t>шрифт в таблицах и на рисунках</w:t>
      </w:r>
      <w:r w:rsidRPr="00F81CDA">
        <w:t xml:space="preserve"> - 12 </w:t>
      </w:r>
      <w:proofErr w:type="spellStart"/>
      <w:r w:rsidRPr="00F81CDA">
        <w:rPr>
          <w:lang w:val="en-US"/>
        </w:rPr>
        <w:t>pt</w:t>
      </w:r>
      <w:proofErr w:type="spellEnd"/>
      <w:r w:rsidRPr="00F81CDA">
        <w:t>., межстрочный интервал - одинарный); ссылки на литературу в квад</w:t>
      </w:r>
      <w:r w:rsidRPr="00F81CDA">
        <w:softHyphen/>
        <w:t xml:space="preserve">ратных скобках. Наличие </w:t>
      </w:r>
      <w:r w:rsidRPr="00F81CDA">
        <w:rPr>
          <w:b/>
        </w:rPr>
        <w:t>списка литературы</w:t>
      </w:r>
      <w:r w:rsidRPr="00F81CDA">
        <w:t xml:space="preserve">, оформленного в соответствии с ГОСТ 7.0.5-2008. Все рисунки и прочие иллюстративные материалы должны быть представлены только в </w:t>
      </w:r>
      <w:r w:rsidRPr="00F81CDA">
        <w:rPr>
          <w:b/>
        </w:rPr>
        <w:t>черно-белом</w:t>
      </w:r>
      <w:r w:rsidRPr="00F81CDA">
        <w:t xml:space="preserve"> исполнении (в том числе графики выполняются с использованием узорной заливки, различных типов штриховки и пр. инструментов визуализации). </w:t>
      </w:r>
    </w:p>
    <w:p w:rsidR="00F81CDA" w:rsidRPr="00F81CDA" w:rsidRDefault="00F81CDA" w:rsidP="00F81CDA">
      <w:pPr>
        <w:widowControl w:val="0"/>
        <w:suppressAutoHyphens/>
        <w:ind w:left="-142" w:firstLine="397"/>
        <w:jc w:val="both"/>
      </w:pPr>
      <w:r w:rsidRPr="00F81CDA">
        <w:t>Список литературы содержит только те произведения, на которые есть ссылки в тексте. Аб</w:t>
      </w:r>
      <w:r w:rsidRPr="00F81CDA">
        <w:softHyphen/>
        <w:t>бревиатуры в статье не допускаются. Литература в списке указывается в алфавитном порядке.</w:t>
      </w:r>
    </w:p>
    <w:p w:rsidR="00F81CDA" w:rsidRPr="00F81CDA" w:rsidRDefault="00F81CDA" w:rsidP="00F81CDA">
      <w:pPr>
        <w:widowControl w:val="0"/>
        <w:suppressAutoHyphens/>
        <w:ind w:left="-142" w:firstLine="397"/>
        <w:jc w:val="both"/>
      </w:pPr>
      <w:r w:rsidRPr="00F81CDA">
        <w:t xml:space="preserve">На первой странице статьи слева без отступа – УДК, в следующей строке справа без отступа – инициалы, фамилия автора (авторов) и инициалы, фамилия научного руководителя (курсив, жирный). Ниже, по центру без отступа – название статьи (жирный, прописными буквами). Далее через 1 интервал приводится аннотация (5-6 строк курсивом 12 </w:t>
      </w:r>
      <w:proofErr w:type="spellStart"/>
      <w:r w:rsidRPr="00F81CDA">
        <w:rPr>
          <w:lang w:val="en-US"/>
        </w:rPr>
        <w:t>pt</w:t>
      </w:r>
      <w:proofErr w:type="spellEnd"/>
      <w:r w:rsidRPr="00F81CDA">
        <w:t xml:space="preserve">.с отступом) и еще через 1 интервал - ключевые слова (5-6 слов курсивом 12 </w:t>
      </w:r>
      <w:proofErr w:type="spellStart"/>
      <w:r w:rsidRPr="00F81CDA">
        <w:rPr>
          <w:lang w:val="en-US"/>
        </w:rPr>
        <w:t>pt</w:t>
      </w:r>
      <w:proofErr w:type="spellEnd"/>
      <w:r w:rsidRPr="00F81CDA">
        <w:t>.с отступом). В конце статьи после списка литературы размещается фамилия и инициалы автора(</w:t>
      </w:r>
      <w:proofErr w:type="spellStart"/>
      <w:r w:rsidRPr="00F81CDA">
        <w:t>ов</w:t>
      </w:r>
      <w:proofErr w:type="spellEnd"/>
      <w:r w:rsidRPr="00F81CDA">
        <w:t xml:space="preserve">) и научного руководителя, аннотация, ключевые слова </w:t>
      </w:r>
      <w:r w:rsidRPr="00F81CDA">
        <w:rPr>
          <w:b/>
          <w:u w:val="single"/>
        </w:rPr>
        <w:t>на английском языке</w:t>
      </w:r>
      <w:r w:rsidRPr="00F81CDA">
        <w:t xml:space="preserve"> и сведения об авторах и научном руководителе (фамилия, имя, отчество полностью, должность, место учебы (работы), город, страна).</w:t>
      </w:r>
    </w:p>
    <w:p w:rsidR="00F81CDA" w:rsidRDefault="00F81CDA" w:rsidP="00F81CDA">
      <w:pPr>
        <w:widowControl w:val="0"/>
        <w:suppressAutoHyphens/>
        <w:ind w:left="-142" w:firstLine="397"/>
        <w:jc w:val="both"/>
        <w:rPr>
          <w:sz w:val="28"/>
        </w:rPr>
      </w:pPr>
    </w:p>
    <w:p w:rsidR="00F81CDA" w:rsidRPr="00F81CDA" w:rsidRDefault="00F81CDA" w:rsidP="00F81CDA">
      <w:pPr>
        <w:widowControl w:val="0"/>
        <w:suppressAutoHyphens/>
        <w:ind w:left="-142" w:firstLine="397"/>
        <w:jc w:val="center"/>
        <w:rPr>
          <w:b/>
          <w:sz w:val="32"/>
        </w:rPr>
      </w:pPr>
      <w:r w:rsidRPr="00F81CDA">
        <w:rPr>
          <w:b/>
          <w:sz w:val="32"/>
        </w:rPr>
        <w:t>Пример оформления статьи</w:t>
      </w:r>
    </w:p>
    <w:p w:rsidR="00F81CDA" w:rsidRPr="00AA1E1E" w:rsidRDefault="00F81CDA" w:rsidP="00F81CDA">
      <w:pPr>
        <w:shd w:val="clear" w:color="auto" w:fill="FFFFFF"/>
        <w:suppressAutoHyphens/>
        <w:spacing w:line="288" w:lineRule="auto"/>
        <w:ind w:left="-142"/>
        <w:jc w:val="both"/>
        <w:outlineLvl w:val="1"/>
        <w:rPr>
          <w:bCs/>
          <w:sz w:val="28"/>
          <w:szCs w:val="28"/>
        </w:rPr>
      </w:pPr>
      <w:r w:rsidRPr="00AA1E1E">
        <w:rPr>
          <w:bCs/>
          <w:sz w:val="28"/>
          <w:szCs w:val="28"/>
        </w:rPr>
        <w:t>УДК 316.614</w:t>
      </w:r>
    </w:p>
    <w:p w:rsidR="00F81CDA" w:rsidRDefault="00F81CDA" w:rsidP="00F81CDA">
      <w:pPr>
        <w:shd w:val="clear" w:color="auto" w:fill="FFFFFF"/>
        <w:suppressAutoHyphens/>
        <w:spacing w:line="288" w:lineRule="auto"/>
        <w:ind w:left="-142"/>
        <w:jc w:val="right"/>
        <w:outlineLvl w:val="1"/>
        <w:rPr>
          <w:b/>
          <w:bCs/>
          <w:i/>
          <w:sz w:val="28"/>
          <w:szCs w:val="28"/>
        </w:rPr>
      </w:pPr>
      <w:r w:rsidRPr="00AA1E1E">
        <w:rPr>
          <w:b/>
          <w:bCs/>
          <w:i/>
          <w:sz w:val="28"/>
          <w:szCs w:val="28"/>
        </w:rPr>
        <w:t>Е. Н. Иванова, И. В. Завьялова</w:t>
      </w:r>
      <w:r>
        <w:rPr>
          <w:b/>
          <w:bCs/>
          <w:i/>
          <w:sz w:val="28"/>
          <w:szCs w:val="28"/>
        </w:rPr>
        <w:t xml:space="preserve"> </w:t>
      </w:r>
    </w:p>
    <w:p w:rsidR="00F81CDA" w:rsidRDefault="00F81CDA" w:rsidP="00F81CDA">
      <w:pPr>
        <w:shd w:val="clear" w:color="auto" w:fill="FFFFFF"/>
        <w:suppressAutoHyphens/>
        <w:spacing w:line="288" w:lineRule="auto"/>
        <w:ind w:left="-142"/>
        <w:jc w:val="right"/>
        <w:outlineLvl w:val="1"/>
        <w:rPr>
          <w:b/>
          <w:bCs/>
          <w:i/>
          <w:sz w:val="28"/>
          <w:szCs w:val="28"/>
        </w:rPr>
      </w:pPr>
    </w:p>
    <w:p w:rsidR="00F81CDA" w:rsidRDefault="00F81CDA" w:rsidP="00F81CDA">
      <w:pPr>
        <w:suppressAutoHyphens/>
        <w:spacing w:line="288" w:lineRule="auto"/>
        <w:ind w:left="-142" w:firstLine="312"/>
        <w:jc w:val="center"/>
        <w:rPr>
          <w:rFonts w:ascii="Times New Roman Полужирный" w:eastAsia="Calibri" w:hAnsi="Times New Roman Полужирный"/>
          <w:b/>
          <w:caps/>
          <w:sz w:val="28"/>
          <w:szCs w:val="32"/>
          <w:lang w:eastAsia="en-US"/>
        </w:rPr>
      </w:pPr>
      <w:r>
        <w:rPr>
          <w:rFonts w:ascii="Times New Roman Полужирный" w:hAnsi="Times New Roman Полужирный"/>
          <w:b/>
          <w:caps/>
          <w:sz w:val="28"/>
          <w:szCs w:val="32"/>
        </w:rPr>
        <w:t xml:space="preserve">Налоговая нагрузка организации </w:t>
      </w:r>
      <w:r>
        <w:rPr>
          <w:rFonts w:asciiTheme="minorHAnsi" w:hAnsiTheme="minorHAnsi"/>
          <w:b/>
          <w:caps/>
          <w:sz w:val="28"/>
          <w:szCs w:val="32"/>
        </w:rPr>
        <w:br/>
      </w:r>
      <w:r>
        <w:rPr>
          <w:rFonts w:ascii="Times New Roman Полужирный" w:hAnsi="Times New Roman Полужирный"/>
          <w:b/>
          <w:caps/>
          <w:sz w:val="28"/>
          <w:szCs w:val="32"/>
        </w:rPr>
        <w:t>и пути ее оптимизации</w:t>
      </w:r>
    </w:p>
    <w:p w:rsidR="00F81CDA" w:rsidRDefault="00F81CDA" w:rsidP="00F81CDA">
      <w:pPr>
        <w:pStyle w:val="a4"/>
        <w:suppressAutoHyphens/>
        <w:spacing w:after="0" w:line="288" w:lineRule="auto"/>
        <w:ind w:left="-142" w:firstLine="454"/>
        <w:jc w:val="both"/>
        <w:rPr>
          <w:rFonts w:ascii="Times New Roman" w:hAnsi="Times New Roman"/>
          <w:sz w:val="28"/>
          <w:szCs w:val="28"/>
        </w:rPr>
      </w:pPr>
    </w:p>
    <w:p w:rsidR="00F81CDA" w:rsidRDefault="00F81CDA" w:rsidP="00F81CDA">
      <w:pPr>
        <w:pStyle w:val="a4"/>
        <w:suppressAutoHyphens/>
        <w:spacing w:after="0" w:line="288" w:lineRule="auto"/>
        <w:ind w:left="-142" w:firstLine="454"/>
        <w:jc w:val="both"/>
        <w:rPr>
          <w:rFonts w:ascii="Times New Roman" w:hAnsi="Times New Roman"/>
          <w:i/>
          <w:sz w:val="24"/>
          <w:szCs w:val="28"/>
        </w:rPr>
      </w:pPr>
      <w:r>
        <w:rPr>
          <w:rFonts w:ascii="Times New Roman" w:hAnsi="Times New Roman"/>
          <w:i/>
          <w:sz w:val="24"/>
          <w:szCs w:val="28"/>
        </w:rPr>
        <w:t>В статье отражена сущность налоговой нагрузки предприятий. Приводится результат сравнительного анализа методик расчета налоговой нагрузки.  Показывается влияние налоговой политики на финансовый результат деятельности предприятия.  Описываются разработанные авторами мероприятия по оптимизации налоговой нагрузки публичного акционерного общества «</w:t>
      </w:r>
      <w:proofErr w:type="spellStart"/>
      <w:r>
        <w:rPr>
          <w:rFonts w:ascii="Times New Roman" w:hAnsi="Times New Roman"/>
          <w:i/>
          <w:sz w:val="24"/>
          <w:szCs w:val="28"/>
        </w:rPr>
        <w:t>Оренбургнефть</w:t>
      </w:r>
      <w:proofErr w:type="spellEnd"/>
      <w:r>
        <w:rPr>
          <w:rFonts w:ascii="Times New Roman" w:hAnsi="Times New Roman"/>
          <w:i/>
          <w:sz w:val="24"/>
          <w:szCs w:val="28"/>
        </w:rPr>
        <w:t>».</w:t>
      </w:r>
    </w:p>
    <w:p w:rsidR="00F81CDA" w:rsidRDefault="00F81CDA" w:rsidP="00F81CDA">
      <w:pPr>
        <w:pStyle w:val="a4"/>
        <w:suppressAutoHyphens/>
        <w:spacing w:after="0" w:line="288" w:lineRule="auto"/>
        <w:ind w:left="-142" w:firstLine="454"/>
        <w:jc w:val="both"/>
        <w:rPr>
          <w:rFonts w:ascii="Times New Roman" w:hAnsi="Times New Roman"/>
          <w:sz w:val="24"/>
          <w:szCs w:val="28"/>
        </w:rPr>
      </w:pPr>
    </w:p>
    <w:p w:rsidR="00F81CDA" w:rsidRDefault="00F81CDA" w:rsidP="00F81CDA">
      <w:pPr>
        <w:pStyle w:val="a4"/>
        <w:suppressAutoHyphens/>
        <w:spacing w:after="0" w:line="288" w:lineRule="auto"/>
        <w:ind w:left="-142" w:firstLine="454"/>
        <w:jc w:val="both"/>
        <w:rPr>
          <w:rFonts w:ascii="Times New Roman" w:hAnsi="Times New Roman"/>
          <w:i/>
          <w:sz w:val="24"/>
          <w:szCs w:val="28"/>
        </w:rPr>
      </w:pPr>
      <w:r w:rsidRPr="004C0163">
        <w:rPr>
          <w:rFonts w:ascii="Times New Roman" w:hAnsi="Times New Roman"/>
          <w:b/>
          <w:sz w:val="24"/>
          <w:szCs w:val="28"/>
        </w:rPr>
        <w:t>Ключевые слова:</w:t>
      </w:r>
      <w:r>
        <w:rPr>
          <w:rFonts w:ascii="Times New Roman" w:hAnsi="Times New Roman"/>
          <w:i/>
          <w:sz w:val="24"/>
          <w:szCs w:val="28"/>
        </w:rPr>
        <w:t xml:space="preserve"> бизнес, предприятие, корпоративное управление, налоговая нагрузка, налоговая оптимизация, налоговая политика.</w:t>
      </w:r>
    </w:p>
    <w:p w:rsidR="00F81CDA" w:rsidRDefault="00F81CDA" w:rsidP="00F81CDA">
      <w:pPr>
        <w:shd w:val="clear" w:color="auto" w:fill="FFFFFF"/>
        <w:suppressAutoHyphens/>
        <w:spacing w:line="288" w:lineRule="auto"/>
        <w:ind w:left="-142" w:firstLine="567"/>
        <w:jc w:val="both"/>
        <w:rPr>
          <w:sz w:val="28"/>
          <w:szCs w:val="28"/>
        </w:rPr>
      </w:pPr>
    </w:p>
    <w:p w:rsidR="00F81CDA" w:rsidRDefault="00F81CDA" w:rsidP="00F81CDA">
      <w:pPr>
        <w:shd w:val="clear" w:color="auto" w:fill="FFFFFF"/>
        <w:suppressAutoHyphens/>
        <w:spacing w:line="288" w:lineRule="auto"/>
        <w:ind w:left="-142" w:firstLine="567"/>
        <w:jc w:val="both"/>
        <w:rPr>
          <w:sz w:val="28"/>
          <w:szCs w:val="28"/>
        </w:rPr>
      </w:pPr>
      <w:r>
        <w:rPr>
          <w:sz w:val="28"/>
          <w:szCs w:val="28"/>
        </w:rPr>
        <w:t xml:space="preserve">Деятельность каждой организации, начиная с момента ее создания, связана с получением тех или иных материальных благ, обусловлена неизменным стремлением к извлечению максимально возможной прибыли. </w:t>
      </w:r>
    </w:p>
    <w:p w:rsidR="00F81CDA" w:rsidRDefault="00F81CDA" w:rsidP="00F81CDA">
      <w:pPr>
        <w:suppressAutoHyphens/>
        <w:spacing w:line="288" w:lineRule="auto"/>
        <w:ind w:left="-142" w:firstLine="454"/>
        <w:contextualSpacing/>
        <w:jc w:val="both"/>
        <w:rPr>
          <w:sz w:val="28"/>
          <w:szCs w:val="28"/>
        </w:rPr>
      </w:pPr>
      <w:r>
        <w:rPr>
          <w:sz w:val="28"/>
          <w:szCs w:val="28"/>
        </w:rPr>
        <w:lastRenderedPageBreak/>
        <w:t>Анализ налоговой нагрузки целесообразно начинать с расчета налоговых платежей и показателей, необходимых для расчета налоговых платежей [5].  Полученные данные отражены в таблице 1.</w:t>
      </w:r>
    </w:p>
    <w:p w:rsidR="00F81CDA" w:rsidRDefault="00F81CDA" w:rsidP="00F81CDA">
      <w:pPr>
        <w:suppressAutoHyphens/>
        <w:spacing w:line="288" w:lineRule="auto"/>
        <w:ind w:left="-142" w:firstLine="454"/>
        <w:contextualSpacing/>
        <w:jc w:val="both"/>
        <w:rPr>
          <w:sz w:val="16"/>
          <w:szCs w:val="16"/>
        </w:rPr>
      </w:pPr>
    </w:p>
    <w:p w:rsidR="00F81CDA" w:rsidRPr="00AA1E1E" w:rsidRDefault="00F81CDA" w:rsidP="00F81CDA">
      <w:pPr>
        <w:suppressAutoHyphens/>
        <w:spacing w:line="288" w:lineRule="auto"/>
        <w:ind w:left="-142" w:firstLine="454"/>
        <w:contextualSpacing/>
        <w:jc w:val="right"/>
        <w:rPr>
          <w:i/>
          <w:sz w:val="28"/>
          <w:szCs w:val="28"/>
        </w:rPr>
      </w:pPr>
      <w:r w:rsidRPr="00AA1E1E">
        <w:rPr>
          <w:i/>
          <w:sz w:val="28"/>
          <w:szCs w:val="28"/>
        </w:rPr>
        <w:t>Таблица 1</w:t>
      </w:r>
    </w:p>
    <w:p w:rsidR="00F81CDA" w:rsidRPr="004C0163" w:rsidRDefault="00F81CDA" w:rsidP="00F81CDA">
      <w:pPr>
        <w:suppressAutoHyphens/>
        <w:spacing w:line="288" w:lineRule="auto"/>
        <w:ind w:left="-142" w:firstLine="454"/>
        <w:contextualSpacing/>
        <w:jc w:val="center"/>
        <w:rPr>
          <w:b/>
          <w:sz w:val="28"/>
          <w:szCs w:val="28"/>
        </w:rPr>
      </w:pPr>
      <w:r w:rsidRPr="00AA1E1E">
        <w:rPr>
          <w:b/>
          <w:sz w:val="28"/>
          <w:szCs w:val="28"/>
        </w:rPr>
        <w:t>Налоговые платежи и показатели, необходимые для анализа налоговой нагрузки АО «Роснефть», тыс. руб.</w:t>
      </w:r>
    </w:p>
    <w:tbl>
      <w:tblPr>
        <w:tblStyle w:val="a6"/>
        <w:tblW w:w="10031" w:type="dxa"/>
        <w:tblLayout w:type="fixed"/>
        <w:tblLook w:val="04A0" w:firstRow="1" w:lastRow="0" w:firstColumn="1" w:lastColumn="0" w:noHBand="0" w:noVBand="1"/>
      </w:tblPr>
      <w:tblGrid>
        <w:gridCol w:w="3227"/>
        <w:gridCol w:w="1701"/>
        <w:gridCol w:w="1701"/>
        <w:gridCol w:w="1701"/>
        <w:gridCol w:w="1701"/>
      </w:tblGrid>
      <w:tr w:rsidR="00F81CDA" w:rsidTr="005C0FDF">
        <w:trPr>
          <w:trHeight w:val="267"/>
        </w:trPr>
        <w:tc>
          <w:tcPr>
            <w:tcW w:w="3227" w:type="dxa"/>
            <w:vMerge w:val="restart"/>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contextualSpacing/>
              <w:jc w:val="both"/>
              <w:rPr>
                <w:rFonts w:eastAsia="Calibri"/>
              </w:rPr>
            </w:pPr>
            <w:r>
              <w:t>Наименование показателя</w:t>
            </w:r>
          </w:p>
        </w:tc>
        <w:tc>
          <w:tcPr>
            <w:tcW w:w="6804" w:type="dxa"/>
            <w:gridSpan w:val="4"/>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454"/>
              <w:contextualSpacing/>
              <w:jc w:val="center"/>
              <w:rPr>
                <w:rFonts w:eastAsia="Calibri"/>
              </w:rPr>
            </w:pPr>
            <w:r>
              <w:t>Значения по годам</w:t>
            </w:r>
          </w:p>
        </w:tc>
      </w:tr>
      <w:tr w:rsidR="00F81CDA" w:rsidTr="005C0FDF">
        <w:trPr>
          <w:trHeight w:val="258"/>
        </w:trPr>
        <w:tc>
          <w:tcPr>
            <w:tcW w:w="3227" w:type="dxa"/>
            <w:vMerge/>
            <w:tcBorders>
              <w:top w:val="single" w:sz="4" w:space="0" w:color="auto"/>
              <w:left w:val="single" w:sz="4" w:space="0" w:color="auto"/>
              <w:bottom w:val="single" w:sz="4" w:space="0" w:color="auto"/>
              <w:right w:val="single" w:sz="4" w:space="0" w:color="auto"/>
            </w:tcBorders>
            <w:vAlign w:val="center"/>
            <w:hideMark/>
          </w:tcPr>
          <w:p w:rsidR="00F81CDA" w:rsidRDefault="00F81CDA" w:rsidP="005C0FDF">
            <w:pPr>
              <w:suppressAutoHyphens/>
              <w:rPr>
                <w:rFonts w:eastAsia="Calibri"/>
              </w:rPr>
            </w:pP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454"/>
              <w:contextualSpacing/>
              <w:jc w:val="center"/>
              <w:rPr>
                <w:rFonts w:eastAsia="Calibri"/>
              </w:rPr>
            </w:pPr>
            <w:r>
              <w:t>2016 год</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454"/>
              <w:contextualSpacing/>
              <w:jc w:val="center"/>
              <w:rPr>
                <w:rFonts w:eastAsia="Calibri"/>
              </w:rPr>
            </w:pPr>
            <w:r>
              <w:t>2017 год</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454"/>
              <w:contextualSpacing/>
              <w:jc w:val="center"/>
              <w:rPr>
                <w:rFonts w:eastAsia="Calibri"/>
              </w:rPr>
            </w:pPr>
            <w:r>
              <w:t>2018 год</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454"/>
              <w:contextualSpacing/>
              <w:jc w:val="center"/>
              <w:rPr>
                <w:rFonts w:eastAsia="Calibri"/>
              </w:rPr>
            </w:pPr>
            <w:r>
              <w:t>2019 год</w:t>
            </w:r>
          </w:p>
        </w:tc>
      </w:tr>
      <w:tr w:rsidR="00F81CDA" w:rsidTr="005C0FDF">
        <w:trPr>
          <w:trHeight w:val="534"/>
        </w:trPr>
        <w:tc>
          <w:tcPr>
            <w:tcW w:w="3227"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contextualSpacing/>
              <w:jc w:val="both"/>
              <w:rPr>
                <w:rFonts w:eastAsia="Calibri"/>
              </w:rPr>
            </w:pPr>
            <w:r>
              <w:t>Налог на добавленную стоимость</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637999765</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773942436</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3"/>
              <w:contextualSpacing/>
              <w:jc w:val="center"/>
              <w:rPr>
                <w:rFonts w:eastAsia="Calibri"/>
              </w:rPr>
            </w:pPr>
            <w:r>
              <w:t>689597090,1</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707425172,3</w:t>
            </w:r>
          </w:p>
        </w:tc>
      </w:tr>
      <w:tr w:rsidR="00F81CDA" w:rsidTr="005C0FDF">
        <w:trPr>
          <w:trHeight w:val="269"/>
        </w:trPr>
        <w:tc>
          <w:tcPr>
            <w:tcW w:w="3227"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contextualSpacing/>
              <w:jc w:val="both"/>
              <w:rPr>
                <w:rFonts w:eastAsia="Calibri"/>
              </w:rPr>
            </w:pPr>
            <w:r>
              <w:t>Налог на имущество</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19238707,7</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22379228,6</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3"/>
              <w:contextualSpacing/>
              <w:jc w:val="center"/>
              <w:rPr>
                <w:rFonts w:eastAsia="Calibri"/>
              </w:rPr>
            </w:pPr>
            <w:r>
              <w:t>24831243,6</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27932443,9</w:t>
            </w:r>
          </w:p>
        </w:tc>
      </w:tr>
      <w:tr w:rsidR="00F81CDA" w:rsidTr="005C0FDF">
        <w:trPr>
          <w:trHeight w:val="260"/>
        </w:trPr>
        <w:tc>
          <w:tcPr>
            <w:tcW w:w="3227"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contextualSpacing/>
              <w:jc w:val="both"/>
              <w:rPr>
                <w:rFonts w:eastAsia="Calibri"/>
              </w:rPr>
            </w:pPr>
            <w:r>
              <w:t>Налог на прибыль</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30955929,2</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101274638</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3"/>
              <w:contextualSpacing/>
              <w:jc w:val="center"/>
              <w:rPr>
                <w:rFonts w:eastAsia="Calibri"/>
              </w:rPr>
            </w:pPr>
            <w:r>
              <w:t>34656957,2</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16875892,6</w:t>
            </w:r>
          </w:p>
        </w:tc>
      </w:tr>
      <w:tr w:rsidR="00F81CDA" w:rsidTr="005C0FDF">
        <w:trPr>
          <w:trHeight w:val="249"/>
        </w:trPr>
        <w:tc>
          <w:tcPr>
            <w:tcW w:w="3227"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contextualSpacing/>
              <w:jc w:val="both"/>
              <w:rPr>
                <w:rFonts w:eastAsia="Calibri"/>
              </w:rPr>
            </w:pPr>
            <w:r>
              <w:t>Налоговые платежи</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688194401,9</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897596302,6</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3"/>
              <w:contextualSpacing/>
              <w:jc w:val="center"/>
              <w:rPr>
                <w:rFonts w:eastAsia="Calibri"/>
              </w:rPr>
            </w:pPr>
            <w:r>
              <w:t>749085290,9</w:t>
            </w:r>
          </w:p>
        </w:tc>
        <w:tc>
          <w:tcPr>
            <w:tcW w:w="1701" w:type="dxa"/>
            <w:tcBorders>
              <w:top w:val="single" w:sz="4" w:space="0" w:color="auto"/>
              <w:left w:val="single" w:sz="4" w:space="0" w:color="auto"/>
              <w:bottom w:val="single" w:sz="4" w:space="0" w:color="auto"/>
              <w:right w:val="single" w:sz="4" w:space="0" w:color="auto"/>
            </w:tcBorders>
            <w:hideMark/>
          </w:tcPr>
          <w:p w:rsidR="00F81CDA" w:rsidRDefault="00F81CDA" w:rsidP="005C0FDF">
            <w:pPr>
              <w:suppressAutoHyphens/>
              <w:ind w:left="-142" w:firstLine="34"/>
              <w:contextualSpacing/>
              <w:jc w:val="center"/>
              <w:rPr>
                <w:rFonts w:eastAsia="Calibri"/>
              </w:rPr>
            </w:pPr>
            <w:r>
              <w:t>752233508,8</w:t>
            </w:r>
          </w:p>
        </w:tc>
      </w:tr>
    </w:tbl>
    <w:p w:rsidR="00F81CDA" w:rsidRDefault="00F81CDA" w:rsidP="00F81CDA">
      <w:pPr>
        <w:shd w:val="clear" w:color="auto" w:fill="FFFFFF"/>
        <w:suppressAutoHyphens/>
        <w:spacing w:line="288" w:lineRule="auto"/>
        <w:ind w:left="-142" w:firstLine="567"/>
        <w:jc w:val="both"/>
        <w:rPr>
          <w:sz w:val="28"/>
          <w:szCs w:val="28"/>
        </w:rPr>
      </w:pPr>
    </w:p>
    <w:p w:rsidR="00F81CDA" w:rsidRDefault="00F81CDA" w:rsidP="00F81CDA">
      <w:pPr>
        <w:shd w:val="clear" w:color="auto" w:fill="FFFFFF"/>
        <w:suppressAutoHyphens/>
        <w:spacing w:line="288" w:lineRule="auto"/>
        <w:ind w:left="-142" w:firstLine="567"/>
        <w:jc w:val="both"/>
        <w:rPr>
          <w:sz w:val="28"/>
          <w:szCs w:val="28"/>
        </w:rPr>
      </w:pPr>
    </w:p>
    <w:p w:rsidR="00F81CDA" w:rsidRDefault="00F81CDA" w:rsidP="00F81CDA">
      <w:pPr>
        <w:shd w:val="clear" w:color="auto" w:fill="FFFFFF"/>
        <w:suppressAutoHyphens/>
        <w:spacing w:line="288" w:lineRule="auto"/>
        <w:ind w:left="-142" w:firstLine="567"/>
        <w:jc w:val="both"/>
        <w:rPr>
          <w:sz w:val="28"/>
          <w:szCs w:val="28"/>
        </w:rPr>
      </w:pPr>
      <w:r>
        <w:rPr>
          <w:sz w:val="28"/>
          <w:szCs w:val="28"/>
        </w:rPr>
        <w:t xml:space="preserve">Текст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Текст………………………………….</w:t>
      </w:r>
    </w:p>
    <w:p w:rsidR="00F81CDA" w:rsidRDefault="00F81CDA" w:rsidP="00F81CDA">
      <w:pPr>
        <w:shd w:val="clear" w:color="auto" w:fill="FFFFFF"/>
        <w:suppressAutoHyphens/>
        <w:spacing w:line="288" w:lineRule="auto"/>
        <w:ind w:left="-142" w:firstLine="567"/>
        <w:jc w:val="both"/>
        <w:rPr>
          <w:sz w:val="28"/>
          <w:szCs w:val="28"/>
        </w:rPr>
      </w:pPr>
      <w:r>
        <w:rPr>
          <w:sz w:val="28"/>
          <w:szCs w:val="28"/>
        </w:rPr>
        <w:t xml:space="preserve"> </w:t>
      </w:r>
    </w:p>
    <w:p w:rsidR="00F81CDA" w:rsidRDefault="00F81CDA" w:rsidP="00F81CDA">
      <w:pPr>
        <w:shd w:val="clear" w:color="auto" w:fill="FFFFFF"/>
        <w:suppressAutoHyphens/>
        <w:spacing w:line="288" w:lineRule="auto"/>
        <w:ind w:left="-142" w:firstLine="567"/>
        <w:jc w:val="both"/>
        <w:rPr>
          <w:sz w:val="28"/>
          <w:szCs w:val="28"/>
        </w:rPr>
      </w:pPr>
    </w:p>
    <w:p w:rsidR="00F81CDA" w:rsidRPr="00CC7C87" w:rsidRDefault="00F81CDA" w:rsidP="00F81CDA">
      <w:pPr>
        <w:suppressAutoHyphens/>
        <w:spacing w:line="288" w:lineRule="auto"/>
        <w:ind w:left="-142"/>
        <w:jc w:val="center"/>
        <w:rPr>
          <w:sz w:val="28"/>
        </w:rPr>
      </w:pPr>
      <w:r>
        <w:rPr>
          <w:noProof/>
        </w:rPr>
        <w:drawing>
          <wp:inline distT="0" distB="0" distL="0" distR="0" wp14:anchorId="56679EED" wp14:editId="6048C296">
            <wp:extent cx="4876800" cy="2143125"/>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81CDA" w:rsidRPr="004C0163" w:rsidRDefault="00F81CDA" w:rsidP="00F81CDA">
      <w:pPr>
        <w:suppressAutoHyphens/>
        <w:spacing w:line="288" w:lineRule="auto"/>
        <w:ind w:left="-142"/>
        <w:jc w:val="center"/>
        <w:rPr>
          <w:i/>
          <w:sz w:val="28"/>
        </w:rPr>
      </w:pPr>
      <w:r w:rsidRPr="00AA1E1E">
        <w:rPr>
          <w:i/>
          <w:sz w:val="28"/>
        </w:rPr>
        <w:t>Рис. 1.</w:t>
      </w:r>
      <w:r>
        <w:rPr>
          <w:i/>
          <w:sz w:val="28"/>
        </w:rPr>
        <w:t xml:space="preserve"> За</w:t>
      </w:r>
      <w:r w:rsidRPr="004C0163">
        <w:rPr>
          <w:i/>
          <w:sz w:val="28"/>
        </w:rPr>
        <w:t xml:space="preserve">висимость частоты возникновения конфликтов </w:t>
      </w:r>
    </w:p>
    <w:p w:rsidR="00F81CDA" w:rsidRPr="004C0163" w:rsidRDefault="00F81CDA" w:rsidP="00F81CDA">
      <w:pPr>
        <w:suppressAutoHyphens/>
        <w:spacing w:line="288" w:lineRule="auto"/>
        <w:ind w:left="-142"/>
        <w:jc w:val="center"/>
        <w:rPr>
          <w:i/>
          <w:sz w:val="28"/>
        </w:rPr>
      </w:pPr>
      <w:r w:rsidRPr="004C0163">
        <w:rPr>
          <w:i/>
          <w:sz w:val="28"/>
        </w:rPr>
        <w:t>подростков и родителей от типов родительского отношения</w:t>
      </w:r>
    </w:p>
    <w:p w:rsidR="00F81CDA" w:rsidRDefault="00F81CDA" w:rsidP="00F81CDA">
      <w:pPr>
        <w:shd w:val="clear" w:color="auto" w:fill="FFFFFF"/>
        <w:suppressAutoHyphens/>
        <w:spacing w:line="288" w:lineRule="auto"/>
        <w:ind w:left="-142" w:firstLine="567"/>
        <w:jc w:val="both"/>
        <w:rPr>
          <w:sz w:val="28"/>
          <w:szCs w:val="28"/>
        </w:rPr>
      </w:pPr>
    </w:p>
    <w:p w:rsidR="00F81CDA" w:rsidRDefault="00F81CDA" w:rsidP="00F81CDA">
      <w:pPr>
        <w:shd w:val="clear" w:color="auto" w:fill="FFFFFF"/>
        <w:suppressAutoHyphens/>
        <w:spacing w:line="288" w:lineRule="auto"/>
        <w:ind w:left="-142" w:firstLine="567"/>
        <w:jc w:val="both"/>
        <w:rPr>
          <w:sz w:val="28"/>
          <w:szCs w:val="28"/>
        </w:rPr>
      </w:pPr>
      <w:r>
        <w:rPr>
          <w:sz w:val="28"/>
          <w:szCs w:val="28"/>
        </w:rPr>
        <w:t xml:space="preserve">Текст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w:t>
      </w:r>
      <w:proofErr w:type="spellStart"/>
      <w:r>
        <w:rPr>
          <w:sz w:val="28"/>
          <w:szCs w:val="28"/>
        </w:rPr>
        <w:t>Текст</w:t>
      </w:r>
      <w:proofErr w:type="spellEnd"/>
      <w:r>
        <w:rPr>
          <w:sz w:val="28"/>
          <w:szCs w:val="28"/>
        </w:rPr>
        <w:t xml:space="preserve"> Текст………………………………….</w:t>
      </w:r>
    </w:p>
    <w:p w:rsidR="00F81CDA" w:rsidRDefault="00F81CDA" w:rsidP="00F81CDA">
      <w:pPr>
        <w:shd w:val="clear" w:color="auto" w:fill="FFFFFF"/>
        <w:suppressAutoHyphens/>
        <w:spacing w:line="288" w:lineRule="auto"/>
        <w:ind w:left="-142" w:firstLine="567"/>
        <w:jc w:val="both"/>
        <w:rPr>
          <w:sz w:val="28"/>
          <w:szCs w:val="28"/>
        </w:rPr>
      </w:pPr>
      <w:r>
        <w:rPr>
          <w:sz w:val="28"/>
          <w:szCs w:val="28"/>
        </w:rPr>
        <w:t xml:space="preserve"> </w:t>
      </w:r>
    </w:p>
    <w:p w:rsidR="00F81CDA" w:rsidRPr="004C0163" w:rsidRDefault="00F81CDA" w:rsidP="00F81CDA">
      <w:pPr>
        <w:pStyle w:val="a7"/>
        <w:suppressAutoHyphens/>
        <w:spacing w:after="0" w:line="288" w:lineRule="auto"/>
        <w:ind w:left="-142" w:hanging="68"/>
        <w:contextualSpacing/>
        <w:jc w:val="center"/>
        <w:rPr>
          <w:rFonts w:ascii="Times New Roman" w:hAnsi="Times New Roman"/>
          <w:b/>
          <w:iCs/>
          <w:sz w:val="28"/>
          <w:szCs w:val="28"/>
        </w:rPr>
      </w:pPr>
      <w:r>
        <w:rPr>
          <w:rFonts w:ascii="Times New Roman" w:hAnsi="Times New Roman"/>
          <w:b/>
          <w:iCs/>
          <w:sz w:val="28"/>
          <w:szCs w:val="28"/>
        </w:rPr>
        <w:t>Список литературы</w:t>
      </w:r>
    </w:p>
    <w:p w:rsidR="00F81CDA" w:rsidRDefault="00F81CDA" w:rsidP="00F81CDA">
      <w:pPr>
        <w:numPr>
          <w:ilvl w:val="0"/>
          <w:numId w:val="1"/>
        </w:numPr>
        <w:suppressAutoHyphens/>
        <w:spacing w:line="288" w:lineRule="auto"/>
        <w:ind w:left="-142" w:firstLine="454"/>
        <w:contextualSpacing/>
        <w:jc w:val="both"/>
        <w:rPr>
          <w:rFonts w:eastAsiaTheme="minorEastAsia"/>
          <w:sz w:val="28"/>
          <w:szCs w:val="28"/>
        </w:rPr>
      </w:pPr>
      <w:r>
        <w:rPr>
          <w:rFonts w:eastAsiaTheme="minorEastAsia"/>
          <w:bCs/>
          <w:sz w:val="28"/>
          <w:szCs w:val="28"/>
        </w:rPr>
        <w:t xml:space="preserve">Налоговый Кодекс Российской Федерации. Часть первая от 31 июля 1998 г. N 146-ФЗ </w:t>
      </w:r>
      <w:r>
        <w:rPr>
          <w:rFonts w:eastAsiaTheme="minorEastAsia"/>
          <w:sz w:val="28"/>
          <w:szCs w:val="28"/>
        </w:rPr>
        <w:t>(с изм. и доп., вступ. в силу с 05.10.2015) [Электронный ресурс].  – Режим доступа: http://</w:t>
      </w:r>
      <w:hyperlink r:id="rId6" w:anchor="block_10001#ixzz3qzGqm88b" w:history="1">
        <w:r w:rsidRPr="00F96BEC">
          <w:rPr>
            <w:rStyle w:val="a3"/>
            <w:rFonts w:eastAsiaTheme="minorEastAsia"/>
            <w:bCs/>
            <w:sz w:val="28"/>
            <w:szCs w:val="28"/>
          </w:rPr>
          <w:t>base.garant.ru</w:t>
        </w:r>
      </w:hyperlink>
      <w:r>
        <w:t xml:space="preserve"> </w:t>
      </w:r>
      <w:r w:rsidRPr="008E2EEF">
        <w:rPr>
          <w:sz w:val="28"/>
          <w:szCs w:val="28"/>
        </w:rPr>
        <w:t>(дата обращения</w:t>
      </w:r>
      <w:r>
        <w:rPr>
          <w:rFonts w:eastAsiaTheme="minorEastAsia"/>
          <w:bCs/>
          <w:sz w:val="28"/>
          <w:szCs w:val="28"/>
        </w:rPr>
        <w:t xml:space="preserve"> 08.02.2020</w:t>
      </w:r>
      <w:r w:rsidRPr="008E2EEF">
        <w:rPr>
          <w:rFonts w:eastAsiaTheme="minorEastAsia"/>
          <w:bCs/>
          <w:sz w:val="28"/>
          <w:szCs w:val="28"/>
        </w:rPr>
        <w:t>)</w:t>
      </w:r>
      <w:r w:rsidRPr="008E2EEF">
        <w:rPr>
          <w:rFonts w:eastAsiaTheme="minorEastAsia"/>
          <w:sz w:val="28"/>
          <w:szCs w:val="28"/>
        </w:rPr>
        <w:t>.</w:t>
      </w:r>
    </w:p>
    <w:p w:rsidR="00F81CDA" w:rsidRDefault="00F81CDA" w:rsidP="00F81CDA">
      <w:pPr>
        <w:numPr>
          <w:ilvl w:val="0"/>
          <w:numId w:val="1"/>
        </w:numPr>
        <w:suppressAutoHyphens/>
        <w:spacing w:line="288" w:lineRule="auto"/>
        <w:ind w:left="-142" w:firstLine="454"/>
        <w:contextualSpacing/>
        <w:jc w:val="both"/>
        <w:rPr>
          <w:rFonts w:eastAsiaTheme="minorEastAsia"/>
          <w:sz w:val="28"/>
          <w:szCs w:val="28"/>
        </w:rPr>
      </w:pPr>
      <w:r>
        <w:rPr>
          <w:rFonts w:eastAsiaTheme="minorEastAsia"/>
          <w:sz w:val="28"/>
          <w:szCs w:val="28"/>
        </w:rPr>
        <w:t xml:space="preserve">Орехов, С.А. Корпоративный менеджмент: Учебное пособие / С.А. Орехов, В.А. Селезнев, Н.В. Тихомирова; под общ. ред. д.э.н., проф. С.А. Орехова. - 3-е изд. – М.: Издательско-торговая корпорация «Дашков и </w:t>
      </w:r>
      <w:proofErr w:type="gramStart"/>
      <w:r>
        <w:rPr>
          <w:rFonts w:eastAsiaTheme="minorEastAsia"/>
          <w:sz w:val="28"/>
          <w:szCs w:val="28"/>
        </w:rPr>
        <w:t>К</w:t>
      </w:r>
      <w:proofErr w:type="gramEnd"/>
      <w:r>
        <w:rPr>
          <w:rFonts w:eastAsiaTheme="minorEastAsia"/>
          <w:sz w:val="28"/>
          <w:szCs w:val="28"/>
        </w:rPr>
        <w:t xml:space="preserve">°», 2013. – 440 с. </w:t>
      </w:r>
    </w:p>
    <w:p w:rsidR="00F81CDA" w:rsidRDefault="00F81CDA" w:rsidP="00F81CDA">
      <w:pPr>
        <w:numPr>
          <w:ilvl w:val="0"/>
          <w:numId w:val="1"/>
        </w:numPr>
        <w:suppressAutoHyphens/>
        <w:spacing w:line="288" w:lineRule="auto"/>
        <w:ind w:left="-142" w:firstLine="454"/>
        <w:contextualSpacing/>
        <w:jc w:val="both"/>
        <w:rPr>
          <w:rFonts w:eastAsiaTheme="minorEastAsia"/>
          <w:sz w:val="28"/>
          <w:szCs w:val="28"/>
        </w:rPr>
      </w:pPr>
      <w:r>
        <w:rPr>
          <w:rFonts w:eastAsiaTheme="minorEastAsia"/>
          <w:sz w:val="28"/>
          <w:szCs w:val="28"/>
        </w:rPr>
        <w:lastRenderedPageBreak/>
        <w:t>Портер, М. Конкуренция: пер. с англ.</w:t>
      </w:r>
      <w:r w:rsidRPr="008E2EEF">
        <w:rPr>
          <w:rFonts w:eastAsiaTheme="minorEastAsia"/>
          <w:sz w:val="28"/>
          <w:szCs w:val="28"/>
        </w:rPr>
        <w:t xml:space="preserve"> /</w:t>
      </w:r>
      <w:r>
        <w:rPr>
          <w:rFonts w:eastAsiaTheme="minorEastAsia"/>
          <w:sz w:val="28"/>
          <w:szCs w:val="28"/>
        </w:rPr>
        <w:t xml:space="preserve"> М.</w:t>
      </w:r>
      <w:r>
        <w:rPr>
          <w:rFonts w:eastAsiaTheme="minorEastAsia"/>
          <w:sz w:val="28"/>
          <w:szCs w:val="28"/>
        </w:rPr>
        <w:t xml:space="preserve"> </w:t>
      </w:r>
      <w:r>
        <w:rPr>
          <w:rFonts w:eastAsiaTheme="minorEastAsia"/>
          <w:sz w:val="28"/>
          <w:szCs w:val="28"/>
        </w:rPr>
        <w:t>Портер. – М.: Вильямс, 2005. – 608 с.</w:t>
      </w:r>
    </w:p>
    <w:p w:rsidR="00F81CDA" w:rsidRDefault="00F81CDA" w:rsidP="00F81CDA">
      <w:pPr>
        <w:numPr>
          <w:ilvl w:val="0"/>
          <w:numId w:val="1"/>
        </w:numPr>
        <w:suppressAutoHyphens/>
        <w:spacing w:line="288" w:lineRule="auto"/>
        <w:ind w:left="-142" w:firstLine="454"/>
        <w:contextualSpacing/>
        <w:jc w:val="both"/>
        <w:rPr>
          <w:rFonts w:eastAsiaTheme="minorEastAsia"/>
          <w:sz w:val="28"/>
          <w:szCs w:val="28"/>
        </w:rPr>
      </w:pPr>
      <w:r>
        <w:rPr>
          <w:rFonts w:eastAsiaTheme="minorEastAsia"/>
          <w:sz w:val="28"/>
          <w:szCs w:val="28"/>
        </w:rPr>
        <w:t xml:space="preserve">Татаркин, А.И. Формирование конкурентных преимуществ регионов </w:t>
      </w:r>
      <w:r w:rsidRPr="00265044">
        <w:rPr>
          <w:rFonts w:eastAsiaTheme="minorEastAsia"/>
          <w:sz w:val="28"/>
          <w:szCs w:val="28"/>
        </w:rPr>
        <w:t>/</w:t>
      </w:r>
      <w:r>
        <w:rPr>
          <w:rFonts w:eastAsiaTheme="minorEastAsia"/>
          <w:sz w:val="28"/>
          <w:szCs w:val="28"/>
        </w:rPr>
        <w:t xml:space="preserve"> </w:t>
      </w:r>
      <w:proofErr w:type="spellStart"/>
      <w:r>
        <w:rPr>
          <w:rFonts w:eastAsiaTheme="minorEastAsia"/>
          <w:sz w:val="28"/>
          <w:szCs w:val="28"/>
        </w:rPr>
        <w:t>А.И.Татаркин</w:t>
      </w:r>
      <w:proofErr w:type="spellEnd"/>
      <w:r>
        <w:rPr>
          <w:rFonts w:eastAsiaTheme="minorEastAsia"/>
          <w:sz w:val="28"/>
          <w:szCs w:val="28"/>
        </w:rPr>
        <w:t xml:space="preserve"> </w:t>
      </w:r>
      <w:r w:rsidRPr="00265044">
        <w:rPr>
          <w:rFonts w:eastAsiaTheme="minorEastAsia"/>
          <w:sz w:val="28"/>
          <w:szCs w:val="28"/>
        </w:rPr>
        <w:t>//</w:t>
      </w:r>
      <w:r>
        <w:rPr>
          <w:rFonts w:eastAsiaTheme="minorEastAsia"/>
          <w:sz w:val="28"/>
          <w:szCs w:val="28"/>
        </w:rPr>
        <w:t xml:space="preserve"> Регион: экономика и социология. – 2006. – №1. – С. 141-154.</w:t>
      </w:r>
    </w:p>
    <w:p w:rsidR="00F81CDA" w:rsidRPr="0015242C" w:rsidRDefault="00F81CDA" w:rsidP="00F81CDA">
      <w:pPr>
        <w:shd w:val="clear" w:color="auto" w:fill="FFFFFF"/>
        <w:tabs>
          <w:tab w:val="left" w:pos="993"/>
        </w:tabs>
        <w:suppressAutoHyphens/>
        <w:spacing w:line="288" w:lineRule="auto"/>
        <w:ind w:left="-142"/>
        <w:jc w:val="both"/>
        <w:rPr>
          <w:sz w:val="28"/>
          <w:szCs w:val="28"/>
        </w:rPr>
      </w:pPr>
    </w:p>
    <w:p w:rsidR="00F81CDA" w:rsidRDefault="00F81CDA" w:rsidP="00F81CDA">
      <w:pPr>
        <w:suppressAutoHyphens/>
        <w:spacing w:line="288" w:lineRule="auto"/>
        <w:ind w:left="-142"/>
        <w:contextualSpacing/>
        <w:jc w:val="right"/>
        <w:rPr>
          <w:rFonts w:eastAsiaTheme="minorEastAsia"/>
          <w:b/>
          <w:i/>
          <w:sz w:val="28"/>
          <w:szCs w:val="28"/>
          <w:lang w:val="en-US"/>
        </w:rPr>
      </w:pPr>
      <w:r w:rsidRPr="00822584">
        <w:rPr>
          <w:b/>
          <w:i/>
          <w:color w:val="222222"/>
          <w:sz w:val="28"/>
          <w:szCs w:val="28"/>
          <w:shd w:val="clear" w:color="auto" w:fill="FDFDFD"/>
        </w:rPr>
        <w:t xml:space="preserve"> </w:t>
      </w:r>
      <w:r>
        <w:rPr>
          <w:rFonts w:eastAsiaTheme="minorEastAsia"/>
          <w:b/>
          <w:i/>
          <w:sz w:val="28"/>
          <w:szCs w:val="28"/>
          <w:lang w:val="en-US"/>
        </w:rPr>
        <w:t>E.</w:t>
      </w:r>
      <w:r w:rsidRPr="004C0163">
        <w:rPr>
          <w:rFonts w:eastAsiaTheme="minorEastAsia"/>
          <w:b/>
          <w:i/>
          <w:sz w:val="28"/>
          <w:szCs w:val="28"/>
          <w:lang w:val="en-US"/>
        </w:rPr>
        <w:t xml:space="preserve"> </w:t>
      </w:r>
      <w:r>
        <w:rPr>
          <w:rFonts w:eastAsiaTheme="minorEastAsia"/>
          <w:b/>
          <w:i/>
          <w:sz w:val="28"/>
          <w:szCs w:val="28"/>
          <w:lang w:val="en-US"/>
        </w:rPr>
        <w:t xml:space="preserve">N. </w:t>
      </w:r>
      <w:proofErr w:type="spellStart"/>
      <w:r>
        <w:rPr>
          <w:rFonts w:eastAsiaTheme="minorEastAsia"/>
          <w:b/>
          <w:i/>
          <w:sz w:val="28"/>
          <w:szCs w:val="28"/>
          <w:lang w:val="en-US"/>
        </w:rPr>
        <w:t>Ivanova</w:t>
      </w:r>
      <w:proofErr w:type="spellEnd"/>
      <w:r>
        <w:rPr>
          <w:rFonts w:eastAsiaTheme="minorEastAsia"/>
          <w:b/>
          <w:i/>
          <w:sz w:val="28"/>
          <w:szCs w:val="28"/>
          <w:lang w:val="en-US"/>
        </w:rPr>
        <w:t>, I.</w:t>
      </w:r>
      <w:r w:rsidRPr="004C0163">
        <w:rPr>
          <w:rFonts w:eastAsiaTheme="minorEastAsia"/>
          <w:b/>
          <w:i/>
          <w:sz w:val="28"/>
          <w:szCs w:val="28"/>
          <w:lang w:val="en-US"/>
        </w:rPr>
        <w:t xml:space="preserve"> </w:t>
      </w:r>
      <w:r>
        <w:rPr>
          <w:rFonts w:eastAsiaTheme="minorEastAsia"/>
          <w:b/>
          <w:i/>
          <w:sz w:val="28"/>
          <w:szCs w:val="28"/>
          <w:lang w:val="en-US"/>
        </w:rPr>
        <w:t xml:space="preserve">V. </w:t>
      </w:r>
      <w:proofErr w:type="spellStart"/>
      <w:r>
        <w:rPr>
          <w:rFonts w:eastAsiaTheme="minorEastAsia"/>
          <w:b/>
          <w:i/>
          <w:sz w:val="28"/>
          <w:szCs w:val="28"/>
          <w:lang w:val="en-US"/>
        </w:rPr>
        <w:t>Zavyalova</w:t>
      </w:r>
      <w:proofErr w:type="spellEnd"/>
    </w:p>
    <w:p w:rsidR="00F81CDA" w:rsidRDefault="00F81CDA" w:rsidP="00F81CDA">
      <w:pPr>
        <w:suppressAutoHyphens/>
        <w:spacing w:line="288" w:lineRule="auto"/>
        <w:ind w:left="-142"/>
        <w:contextualSpacing/>
        <w:jc w:val="right"/>
        <w:rPr>
          <w:rFonts w:eastAsiaTheme="minorEastAsia"/>
          <w:b/>
          <w:i/>
          <w:sz w:val="28"/>
          <w:szCs w:val="28"/>
          <w:lang w:val="en-US"/>
        </w:rPr>
      </w:pPr>
    </w:p>
    <w:p w:rsidR="00F81CDA" w:rsidRPr="00822584" w:rsidRDefault="00F81CDA" w:rsidP="00F81CDA">
      <w:pPr>
        <w:pStyle w:val="a4"/>
        <w:suppressAutoHyphens/>
        <w:spacing w:after="0" w:line="288" w:lineRule="auto"/>
        <w:ind w:left="-142"/>
        <w:jc w:val="center"/>
        <w:rPr>
          <w:rFonts w:ascii="Times New Roman" w:hAnsi="Times New Roman"/>
          <w:b/>
          <w:sz w:val="28"/>
          <w:szCs w:val="28"/>
          <w:lang w:val="en-US"/>
        </w:rPr>
      </w:pPr>
      <w:r>
        <w:rPr>
          <w:rFonts w:ascii="Times New Roman" w:hAnsi="Times New Roman"/>
          <w:b/>
          <w:sz w:val="28"/>
          <w:szCs w:val="28"/>
          <w:lang w:val="en-US"/>
        </w:rPr>
        <w:t xml:space="preserve">THE ROLE OF THE ABVERISE IN PROMOTION OF GOODS VIA </w:t>
      </w:r>
    </w:p>
    <w:p w:rsidR="00F81CDA" w:rsidRDefault="00F81CDA" w:rsidP="00F81CDA">
      <w:pPr>
        <w:pStyle w:val="a4"/>
        <w:suppressAutoHyphens/>
        <w:spacing w:after="0" w:line="288" w:lineRule="auto"/>
        <w:ind w:left="-142"/>
        <w:jc w:val="center"/>
        <w:rPr>
          <w:rFonts w:ascii="Times New Roman" w:hAnsi="Times New Roman"/>
          <w:b/>
          <w:sz w:val="28"/>
          <w:szCs w:val="28"/>
          <w:lang w:val="en-US"/>
        </w:rPr>
      </w:pPr>
      <w:r>
        <w:rPr>
          <w:rFonts w:ascii="Times New Roman" w:hAnsi="Times New Roman"/>
          <w:b/>
          <w:sz w:val="28"/>
          <w:szCs w:val="28"/>
          <w:lang w:val="en-US"/>
        </w:rPr>
        <w:t>THE INTERNET</w:t>
      </w:r>
    </w:p>
    <w:p w:rsidR="00F81CDA" w:rsidRDefault="00F81CDA" w:rsidP="00F81CDA">
      <w:pPr>
        <w:suppressAutoHyphens/>
        <w:spacing w:line="288" w:lineRule="auto"/>
        <w:ind w:left="-142"/>
        <w:contextualSpacing/>
        <w:jc w:val="both"/>
        <w:rPr>
          <w:i/>
          <w:sz w:val="28"/>
          <w:szCs w:val="28"/>
          <w:lang w:val="en-US"/>
        </w:rPr>
      </w:pPr>
    </w:p>
    <w:p w:rsidR="00F81CDA" w:rsidRDefault="00F81CDA" w:rsidP="00F81CDA">
      <w:pPr>
        <w:suppressAutoHyphens/>
        <w:spacing w:line="288" w:lineRule="auto"/>
        <w:ind w:left="-142" w:firstLine="454"/>
        <w:contextualSpacing/>
        <w:jc w:val="both"/>
        <w:rPr>
          <w:i/>
          <w:lang w:val="en-US"/>
        </w:rPr>
      </w:pPr>
      <w:r>
        <w:rPr>
          <w:i/>
          <w:lang w:val="en-US"/>
        </w:rPr>
        <w:t xml:space="preserve">The article reflects the essence of the tax burden of enterprises. The result of a comparative analysis of the methods for calculating the tax burden is given. The influence of the tax policy on the financial result of the enterprise activity is shown. Describes the measures developed by the authors to optimize the tax burden of the public joint-stock company </w:t>
      </w:r>
      <w:proofErr w:type="spellStart"/>
      <w:r>
        <w:rPr>
          <w:i/>
          <w:lang w:val="en-US"/>
        </w:rPr>
        <w:t>Orenburgneft</w:t>
      </w:r>
      <w:proofErr w:type="spellEnd"/>
      <w:r>
        <w:rPr>
          <w:i/>
          <w:lang w:val="en-US"/>
        </w:rPr>
        <w:t>.</w:t>
      </w:r>
    </w:p>
    <w:p w:rsidR="00F81CDA" w:rsidRDefault="00F81CDA" w:rsidP="00F81CDA">
      <w:pPr>
        <w:suppressAutoHyphens/>
        <w:spacing w:line="288" w:lineRule="auto"/>
        <w:ind w:left="-142" w:firstLine="454"/>
        <w:contextualSpacing/>
        <w:jc w:val="both"/>
        <w:rPr>
          <w:i/>
          <w:lang w:val="en-US"/>
        </w:rPr>
      </w:pPr>
    </w:p>
    <w:p w:rsidR="00F81CDA" w:rsidRDefault="00F81CDA" w:rsidP="00F81CDA">
      <w:pPr>
        <w:suppressAutoHyphens/>
        <w:spacing w:line="288" w:lineRule="auto"/>
        <w:ind w:left="-142" w:firstLine="454"/>
        <w:contextualSpacing/>
        <w:jc w:val="both"/>
        <w:rPr>
          <w:i/>
          <w:lang w:val="en-US"/>
        </w:rPr>
      </w:pPr>
      <w:r>
        <w:rPr>
          <w:i/>
          <w:lang w:val="en-US"/>
        </w:rPr>
        <w:t>Keywords: business, enterprise, corporate governance, tax burden, tax optimization, tax policy.</w:t>
      </w:r>
    </w:p>
    <w:p w:rsidR="00F81CDA" w:rsidRDefault="00F81CDA" w:rsidP="00F81CDA">
      <w:pPr>
        <w:suppressAutoHyphens/>
        <w:ind w:left="-142"/>
        <w:contextualSpacing/>
        <w:jc w:val="both"/>
        <w:rPr>
          <w:i/>
          <w:sz w:val="12"/>
          <w:szCs w:val="12"/>
        </w:rPr>
      </w:pPr>
      <w:r>
        <w:rPr>
          <w:i/>
          <w:sz w:val="12"/>
          <w:szCs w:val="12"/>
        </w:rPr>
        <w:t>_____________________________________________________________________________________________________________________________________</w:t>
      </w:r>
      <w:r>
        <w:rPr>
          <w:i/>
          <w:sz w:val="12"/>
          <w:szCs w:val="12"/>
        </w:rPr>
        <w:t>______________________________</w:t>
      </w:r>
    </w:p>
    <w:p w:rsidR="00F81CDA" w:rsidRPr="00010D1A" w:rsidRDefault="00F81CDA" w:rsidP="00F81CDA">
      <w:pPr>
        <w:suppressAutoHyphens/>
        <w:spacing w:line="288" w:lineRule="auto"/>
        <w:ind w:left="-142" w:firstLine="454"/>
        <w:contextualSpacing/>
        <w:jc w:val="both"/>
      </w:pPr>
      <w:r>
        <w:t>ИВАНОВА Елена Николаевна – студентка ГБОУ ВО «</w:t>
      </w:r>
      <w:proofErr w:type="spellStart"/>
      <w:r>
        <w:t>Бузулукский</w:t>
      </w:r>
      <w:proofErr w:type="spellEnd"/>
      <w:r>
        <w:t xml:space="preserve"> гуманитарно-технологический институт (филиал) ОГУ», г. Бузулук</w:t>
      </w:r>
      <w:r w:rsidRPr="00AA1E1E">
        <w:t>, Россия</w:t>
      </w:r>
      <w:r>
        <w:t xml:space="preserve">, </w:t>
      </w:r>
      <w:bookmarkStart w:id="0" w:name="_Hlk64648292"/>
      <w:r>
        <w:rPr>
          <w:lang w:val="en-US"/>
        </w:rPr>
        <w:t>email</w:t>
      </w:r>
      <w:r w:rsidRPr="00010D1A">
        <w:t>@</w:t>
      </w:r>
      <w:r>
        <w:rPr>
          <w:lang w:val="en-US"/>
        </w:rPr>
        <w:t>mail</w:t>
      </w:r>
      <w:r w:rsidRPr="00010D1A">
        <w:t>.</w:t>
      </w:r>
      <w:proofErr w:type="spellStart"/>
      <w:r>
        <w:rPr>
          <w:lang w:val="en-US"/>
        </w:rPr>
        <w:t>ru</w:t>
      </w:r>
      <w:bookmarkEnd w:id="0"/>
      <w:proofErr w:type="spellEnd"/>
    </w:p>
    <w:p w:rsidR="00F81CDA" w:rsidRPr="00010D1A" w:rsidRDefault="00F81CDA" w:rsidP="00F81CDA">
      <w:pPr>
        <w:suppressAutoHyphens/>
        <w:spacing w:line="288" w:lineRule="auto"/>
        <w:ind w:left="-142" w:firstLine="454"/>
        <w:contextualSpacing/>
        <w:jc w:val="both"/>
      </w:pPr>
      <w:r>
        <w:t xml:space="preserve">ЗАВЬЯЛОВА Инна Валерьевна – канд. </w:t>
      </w:r>
      <w:proofErr w:type="spellStart"/>
      <w:r>
        <w:t>экон</w:t>
      </w:r>
      <w:proofErr w:type="spellEnd"/>
      <w:r>
        <w:t>. наук, доцент ГБОУ ВО «</w:t>
      </w:r>
      <w:proofErr w:type="spellStart"/>
      <w:r>
        <w:t>Бузулукский</w:t>
      </w:r>
      <w:proofErr w:type="spellEnd"/>
      <w:r>
        <w:t xml:space="preserve"> гуманитарно-технологический институт (филиал) ОГУ», г. Бузулук</w:t>
      </w:r>
      <w:r w:rsidRPr="00AA1E1E">
        <w:t>, Россия</w:t>
      </w:r>
      <w:r w:rsidRPr="00010D1A">
        <w:t xml:space="preserve">, </w:t>
      </w:r>
      <w:r>
        <w:rPr>
          <w:lang w:val="en-US"/>
        </w:rPr>
        <w:t>email</w:t>
      </w:r>
      <w:r w:rsidRPr="00010D1A">
        <w:t>@</w:t>
      </w:r>
      <w:r>
        <w:rPr>
          <w:lang w:val="en-US"/>
        </w:rPr>
        <w:t>mail</w:t>
      </w:r>
      <w:r w:rsidRPr="00010D1A">
        <w:t>.</w:t>
      </w:r>
      <w:proofErr w:type="spellStart"/>
      <w:r>
        <w:rPr>
          <w:lang w:val="en-US"/>
        </w:rPr>
        <w:t>ru</w:t>
      </w:r>
      <w:proofErr w:type="spellEnd"/>
    </w:p>
    <w:p w:rsidR="00F81CDA" w:rsidRDefault="00F81CDA" w:rsidP="00F81CDA">
      <w:pPr>
        <w:shd w:val="clear" w:color="auto" w:fill="FFFFFF"/>
        <w:suppressAutoHyphens/>
        <w:spacing w:line="288" w:lineRule="auto"/>
        <w:ind w:left="360"/>
        <w:jc w:val="right"/>
        <w:outlineLvl w:val="1"/>
        <w:rPr>
          <w:b/>
          <w:sz w:val="16"/>
          <w:szCs w:val="16"/>
          <w:highlight w:val="yellow"/>
        </w:rPr>
      </w:pPr>
    </w:p>
    <w:p w:rsidR="00FA2CEF" w:rsidRPr="00F81CDA" w:rsidRDefault="00FA2CEF" w:rsidP="00F81CDA">
      <w:pPr>
        <w:spacing w:after="200" w:line="276" w:lineRule="auto"/>
        <w:rPr>
          <w:b/>
          <w:bCs/>
        </w:rPr>
      </w:pPr>
      <w:bookmarkStart w:id="1" w:name="_GoBack"/>
      <w:bookmarkEnd w:id="1"/>
    </w:p>
    <w:sectPr w:rsidR="00FA2CEF" w:rsidRPr="00F81CDA" w:rsidSect="003A4829">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D32B8C"/>
    <w:multiLevelType w:val="hybridMultilevel"/>
    <w:tmpl w:val="1B94493E"/>
    <w:lvl w:ilvl="0" w:tplc="0419000F">
      <w:start w:val="1"/>
      <w:numFmt w:val="decimal"/>
      <w:lvlText w:val="%1."/>
      <w:lvlJc w:val="left"/>
      <w:pPr>
        <w:ind w:left="786" w:hanging="360"/>
      </w:pPr>
      <w:rPr>
        <w:sz w:val="24"/>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DA"/>
    <w:rsid w:val="003A4829"/>
    <w:rsid w:val="00F81CDA"/>
    <w:rsid w:val="00FA2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58D8A-43F3-4C91-901F-1B6A3C3E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C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1CDA"/>
    <w:rPr>
      <w:color w:val="0000FF"/>
      <w:u w:val="single"/>
    </w:rPr>
  </w:style>
  <w:style w:type="paragraph" w:styleId="a4">
    <w:name w:val="List Paragraph"/>
    <w:basedOn w:val="a"/>
    <w:link w:val="a5"/>
    <w:uiPriority w:val="34"/>
    <w:qFormat/>
    <w:rsid w:val="00F81CDA"/>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rsid w:val="00F81C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Абзац списка Знак"/>
    <w:basedOn w:val="a0"/>
    <w:link w:val="a4"/>
    <w:uiPriority w:val="34"/>
    <w:locked/>
    <w:rsid w:val="00F81CDA"/>
  </w:style>
  <w:style w:type="paragraph" w:styleId="a7">
    <w:name w:val="Body Text Indent"/>
    <w:basedOn w:val="a"/>
    <w:link w:val="a8"/>
    <w:uiPriority w:val="99"/>
    <w:semiHidden/>
    <w:unhideWhenUsed/>
    <w:rsid w:val="00F81CDA"/>
    <w:pPr>
      <w:spacing w:after="120" w:line="276" w:lineRule="auto"/>
      <w:ind w:left="283"/>
    </w:pPr>
    <w:rPr>
      <w:rFonts w:ascii="Calibri" w:eastAsia="Calibri" w:hAnsi="Calibri"/>
      <w:sz w:val="22"/>
      <w:szCs w:val="22"/>
      <w:lang w:eastAsia="en-US"/>
    </w:rPr>
  </w:style>
  <w:style w:type="character" w:customStyle="1" w:styleId="a8">
    <w:name w:val="Основной текст с отступом Знак"/>
    <w:basedOn w:val="a0"/>
    <w:link w:val="a7"/>
    <w:uiPriority w:val="99"/>
    <w:semiHidden/>
    <w:rsid w:val="00F81C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0900200/1/"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161162690483846E-2"/>
          <c:y val="4.23891230586965E-2"/>
          <c:w val="0.91751600701653557"/>
          <c:h val="0.7166031318756596"/>
        </c:manualLayout>
      </c:layout>
      <c:barChart>
        <c:barDir val="col"/>
        <c:grouping val="clustered"/>
        <c:varyColors val="0"/>
        <c:ser>
          <c:idx val="0"/>
          <c:order val="0"/>
          <c:tx>
            <c:strRef>
              <c:f>Лист1!$B$1</c:f>
              <c:strCache>
                <c:ptCount val="1"/>
                <c:pt idx="0">
                  <c:v>Столбец3</c:v>
                </c:pt>
              </c:strCache>
            </c:strRef>
          </c:tx>
          <c:spPr>
            <a:solidFill>
              <a:sysClr val="window" lastClr="FFFFFF">
                <a:lumMod val="75000"/>
              </a:sysClr>
            </a:solidFill>
          </c:spPr>
          <c:invertIfNegative val="0"/>
          <c:dLbls>
            <c:dLbl>
              <c:idx val="0"/>
              <c:layout>
                <c:manualLayout>
                  <c:x val="0"/>
                  <c:y val="1.1716303661665829E-2"/>
                </c:manualLayout>
              </c:layout>
              <c:tx>
                <c:rich>
                  <a:bodyPr/>
                  <a:lstStyle/>
                  <a:p>
                    <a:r>
                      <a:rPr lang="en-US" sz="1100">
                        <a:latin typeface="Times New Roman" pitchFamily="18" charset="0"/>
                        <a:cs typeface="Times New Roman" pitchFamily="18" charset="0"/>
                      </a:rPr>
                      <a:t>1,3%</a:t>
                    </a:r>
                    <a:endParaRPr lang="en-US"/>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E08-4F1D-B4EA-275E0154CB80}"/>
                </c:ext>
                <c:ext xmlns:c15="http://schemas.microsoft.com/office/drawing/2012/chart" uri="{CE6537A1-D6FC-4f65-9D91-7224C49458BB}"/>
              </c:extLst>
            </c:dLbl>
            <c:dLbl>
              <c:idx val="1"/>
              <c:tx>
                <c:rich>
                  <a:bodyPr/>
                  <a:lstStyle/>
                  <a:p>
                    <a:r>
                      <a:rPr lang="en-US" sz="1100">
                        <a:latin typeface="Times New Roman" pitchFamily="18" charset="0"/>
                        <a:cs typeface="Times New Roman" pitchFamily="18" charset="0"/>
                      </a:rPr>
                      <a:t>15,8%</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E08-4F1D-B4EA-275E0154CB80}"/>
                </c:ext>
                <c:ext xmlns:c15="http://schemas.microsoft.com/office/drawing/2012/chart" uri="{CE6537A1-D6FC-4f65-9D91-7224C49458BB}"/>
              </c:extLst>
            </c:dLbl>
            <c:dLbl>
              <c:idx val="2"/>
              <c:tx>
                <c:rich>
                  <a:bodyPr/>
                  <a:lstStyle/>
                  <a:p>
                    <a:r>
                      <a:rPr lang="en-US" sz="1100">
                        <a:latin typeface="Times New Roman" pitchFamily="18" charset="0"/>
                        <a:cs typeface="Times New Roman" pitchFamily="18" charset="0"/>
                      </a:rPr>
                      <a:t>62,4%</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E08-4F1D-B4EA-275E0154CB80}"/>
                </c:ext>
                <c:ext xmlns:c15="http://schemas.microsoft.com/office/drawing/2012/chart" uri="{CE6537A1-D6FC-4f65-9D91-7224C49458BB}"/>
              </c:extLst>
            </c:dLbl>
            <c:dLbl>
              <c:idx val="3"/>
              <c:tx>
                <c:rich>
                  <a:bodyPr/>
                  <a:lstStyle/>
                  <a:p>
                    <a:r>
                      <a:rPr lang="en-US" sz="1100">
                        <a:latin typeface="Times New Roman" pitchFamily="18" charset="0"/>
                        <a:cs typeface="Times New Roman" pitchFamily="18" charset="0"/>
                      </a:rPr>
                      <a:t>71,2%</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E08-4F1D-B4EA-275E0154CB80}"/>
                </c:ext>
                <c:ext xmlns:c15="http://schemas.microsoft.com/office/drawing/2012/chart" uri="{CE6537A1-D6FC-4f65-9D91-7224C49458BB}"/>
              </c:extLst>
            </c:dLbl>
            <c:dLbl>
              <c:idx val="4"/>
              <c:tx>
                <c:rich>
                  <a:bodyPr/>
                  <a:lstStyle/>
                  <a:p>
                    <a:r>
                      <a:rPr lang="en-US" sz="1100">
                        <a:latin typeface="Times New Roman" pitchFamily="18" charset="0"/>
                        <a:cs typeface="Times New Roman" pitchFamily="18" charset="0"/>
                      </a:rPr>
                      <a:t>60,7%</a:t>
                    </a:r>
                    <a:endParaRPr lang="en-US"/>
                  </a:p>
                </c:rich>
              </c:tx>
              <c:dLblPos val="in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E08-4F1D-B4EA-275E0154CB80}"/>
                </c:ext>
                <c:ext xmlns:c15="http://schemas.microsoft.com/office/drawing/2012/chart" uri="{CE6537A1-D6FC-4f65-9D91-7224C49458BB}"/>
              </c:extLst>
            </c:dLbl>
            <c:spPr>
              <a:noFill/>
              <a:ln>
                <a:noFill/>
              </a:ln>
              <a:effectLst/>
            </c:spPr>
            <c:txPr>
              <a:bodyPr/>
              <a:lstStyle/>
              <a:p>
                <a:pPr>
                  <a:defRPr sz="1100"/>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Кооперация</c:v>
                </c:pt>
                <c:pt idx="1">
                  <c:v>Симбиоз</c:v>
                </c:pt>
                <c:pt idx="2">
                  <c:v>Принятие- отвержение</c:v>
                </c:pt>
                <c:pt idx="3">
                  <c:v>Авторитарная гипер- социализация</c:v>
                </c:pt>
                <c:pt idx="4">
                  <c:v>Маленький неудачник</c:v>
                </c:pt>
              </c:strCache>
            </c:strRef>
          </c:cat>
          <c:val>
            <c:numRef>
              <c:f>Лист1!$B$2:$B$6</c:f>
              <c:numCache>
                <c:formatCode>General</c:formatCode>
                <c:ptCount val="5"/>
                <c:pt idx="0">
                  <c:v>1.3</c:v>
                </c:pt>
                <c:pt idx="1">
                  <c:v>15.8</c:v>
                </c:pt>
                <c:pt idx="2">
                  <c:v>62.4</c:v>
                </c:pt>
                <c:pt idx="3">
                  <c:v>71.2</c:v>
                </c:pt>
                <c:pt idx="4">
                  <c:v>60.7</c:v>
                </c:pt>
              </c:numCache>
            </c:numRef>
          </c:val>
          <c:extLst xmlns:c16r2="http://schemas.microsoft.com/office/drawing/2015/06/chart">
            <c:ext xmlns:c16="http://schemas.microsoft.com/office/drawing/2014/chart" uri="{C3380CC4-5D6E-409C-BE32-E72D297353CC}">
              <c16:uniqueId val="{00000005-FE08-4F1D-B4EA-275E0154CB80}"/>
            </c:ext>
          </c:extLst>
        </c:ser>
        <c:dLbls>
          <c:showLegendKey val="0"/>
          <c:showVal val="0"/>
          <c:showCatName val="0"/>
          <c:showSerName val="0"/>
          <c:showPercent val="0"/>
          <c:showBubbleSize val="0"/>
        </c:dLbls>
        <c:gapWidth val="75"/>
        <c:overlap val="40"/>
        <c:axId val="55239688"/>
        <c:axId val="55238904"/>
      </c:barChart>
      <c:dateAx>
        <c:axId val="55239688"/>
        <c:scaling>
          <c:orientation val="minMax"/>
        </c:scaling>
        <c:delete val="0"/>
        <c:axPos val="b"/>
        <c:numFmt formatCode="General" sourceLinked="0"/>
        <c:majorTickMark val="none"/>
        <c:minorTickMark val="none"/>
        <c:tickLblPos val="low"/>
        <c:txPr>
          <a:bodyPr/>
          <a:lstStyle/>
          <a:p>
            <a:pPr>
              <a:defRPr sz="1100"/>
            </a:pPr>
            <a:endParaRPr lang="ru-RU"/>
          </a:p>
        </c:txPr>
        <c:crossAx val="55238904"/>
        <c:crosses val="autoZero"/>
        <c:auto val="0"/>
        <c:lblOffset val="100"/>
        <c:baseTimeUnit val="days"/>
      </c:dateAx>
      <c:valAx>
        <c:axId val="55238904"/>
        <c:scaling>
          <c:orientation val="minMax"/>
        </c:scaling>
        <c:delete val="0"/>
        <c:axPos val="l"/>
        <c:numFmt formatCode="General" sourceLinked="1"/>
        <c:majorTickMark val="none"/>
        <c:minorTickMark val="none"/>
        <c:tickLblPos val="nextTo"/>
        <c:txPr>
          <a:bodyPr/>
          <a:lstStyle/>
          <a:p>
            <a:pPr>
              <a:defRPr sz="1100"/>
            </a:pPr>
            <a:endParaRPr lang="ru-RU"/>
          </a:p>
        </c:txPr>
        <c:crossAx val="55239688"/>
        <c:crosses val="autoZero"/>
        <c:crossBetween val="between"/>
      </c:valAx>
      <c:spPr>
        <a:noFill/>
        <a:ln w="25400">
          <a:noFill/>
        </a:ln>
      </c:spPr>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3</Pages>
  <Words>802</Words>
  <Characters>4577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dc:creator>
  <cp:keywords/>
  <dc:description/>
  <cp:lastModifiedBy>Olga K.</cp:lastModifiedBy>
  <cp:revision>1</cp:revision>
  <dcterms:created xsi:type="dcterms:W3CDTF">2021-03-01T14:48:00Z</dcterms:created>
  <dcterms:modified xsi:type="dcterms:W3CDTF">2021-03-01T14:51:00Z</dcterms:modified>
</cp:coreProperties>
</file>