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39" w:rsidRPr="000D4C00" w:rsidRDefault="00575539" w:rsidP="00575539">
      <w:pPr>
        <w:shd w:val="clear" w:color="auto" w:fill="FFFFFF"/>
        <w:suppressAutoHyphens/>
        <w:ind w:left="-142"/>
        <w:jc w:val="center"/>
        <w:rPr>
          <w:b/>
        </w:rPr>
      </w:pPr>
      <w:bookmarkStart w:id="0" w:name="_GoBack"/>
      <w:bookmarkEnd w:id="0"/>
      <w:r w:rsidRPr="000D4C00">
        <w:rPr>
          <w:b/>
        </w:rPr>
        <w:t xml:space="preserve">Требования к оформлению статьи в сборник  </w:t>
      </w:r>
    </w:p>
    <w:p w:rsidR="00575539" w:rsidRPr="000D4C00" w:rsidRDefault="00575539" w:rsidP="00575539">
      <w:pPr>
        <w:shd w:val="clear" w:color="auto" w:fill="FFFFFF"/>
        <w:suppressAutoHyphens/>
        <w:ind w:left="-142"/>
        <w:jc w:val="center"/>
        <w:rPr>
          <w:b/>
        </w:rPr>
      </w:pPr>
      <w:r w:rsidRPr="000D4C00">
        <w:rPr>
          <w:b/>
        </w:rPr>
        <w:t xml:space="preserve">Международной междисциплинарной научной конференций </w:t>
      </w:r>
    </w:p>
    <w:p w:rsidR="00575539" w:rsidRPr="000D4C00" w:rsidRDefault="00575539" w:rsidP="00575539">
      <w:pPr>
        <w:shd w:val="clear" w:color="auto" w:fill="FFFFFF"/>
        <w:suppressAutoHyphens/>
        <w:ind w:firstLine="454"/>
        <w:jc w:val="center"/>
        <w:rPr>
          <w:b/>
        </w:rPr>
      </w:pPr>
      <w:r w:rsidRPr="000D4C00">
        <w:rPr>
          <w:b/>
        </w:rPr>
        <w:t xml:space="preserve">«Управление в условиях </w:t>
      </w:r>
      <w:proofErr w:type="spellStart"/>
      <w:r w:rsidRPr="000D4C00">
        <w:rPr>
          <w:b/>
        </w:rPr>
        <w:t>цифровизации</w:t>
      </w:r>
      <w:proofErr w:type="spellEnd"/>
      <w:r w:rsidRPr="000D4C00">
        <w:rPr>
          <w:b/>
        </w:rPr>
        <w:t xml:space="preserve"> социально-экономических процессов»</w:t>
      </w:r>
    </w:p>
    <w:p w:rsidR="00575539" w:rsidRPr="000D4C00" w:rsidRDefault="00575539" w:rsidP="00575539">
      <w:pPr>
        <w:shd w:val="clear" w:color="auto" w:fill="FFFFFF"/>
        <w:suppressAutoHyphens/>
        <w:ind w:left="-142"/>
        <w:jc w:val="center"/>
        <w:rPr>
          <w:b/>
        </w:rPr>
      </w:pPr>
    </w:p>
    <w:p w:rsidR="00575539" w:rsidRPr="000D4C00" w:rsidRDefault="00575539" w:rsidP="00575539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C00">
        <w:rPr>
          <w:rFonts w:ascii="Times New Roman" w:hAnsi="Times New Roman" w:cs="Times New Roman"/>
          <w:sz w:val="24"/>
          <w:szCs w:val="24"/>
        </w:rPr>
        <w:t>1. К публикации принимаются научные материалы, содержащие результаты оригинальных исследований автора объемом до 2 страниц</w:t>
      </w:r>
    </w:p>
    <w:p w:rsidR="00575539" w:rsidRPr="000D4C00" w:rsidRDefault="00575539" w:rsidP="00575539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4C00">
        <w:rPr>
          <w:rFonts w:ascii="Times New Roman" w:hAnsi="Times New Roman" w:cs="Times New Roman"/>
          <w:sz w:val="24"/>
          <w:szCs w:val="24"/>
        </w:rPr>
        <w:t>2. Материал начинается с указания ФИО автора, его ученой степени, ученого звания, места работы, адреса электронной почты, затем название статьи (на русском и английском языках).</w:t>
      </w:r>
    </w:p>
    <w:p w:rsidR="00575539" w:rsidRPr="000D4C00" w:rsidRDefault="00575539" w:rsidP="00575539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C00">
        <w:rPr>
          <w:rFonts w:ascii="Times New Roman" w:hAnsi="Times New Roman" w:cs="Times New Roman"/>
          <w:sz w:val="24"/>
          <w:szCs w:val="24"/>
        </w:rPr>
        <w:t>3. Материал сопровождается аннотацией (350 знаков с пробелами) и ключевыми словами (до 7 слов) на русском и английском языках.</w:t>
      </w:r>
    </w:p>
    <w:p w:rsidR="00575539" w:rsidRPr="000D4C00" w:rsidRDefault="00575539" w:rsidP="00575539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4C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Объем статьи должен составлять не более 4 000 знаков с пробелами, текстовый редактор – </w:t>
      </w:r>
      <w:r w:rsidRPr="000D4C0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0D4C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шрифт </w:t>
      </w:r>
      <w:proofErr w:type="spellStart"/>
      <w:r w:rsidRPr="000D4C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0D4C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4C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0D4C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4C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0D4C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размер шрифта – 14, интервал – одинарный, поля – все по </w:t>
      </w:r>
      <w:smartTag w:uri="urn:schemas-microsoft-com:office:smarttags" w:element="metricconverter">
        <w:smartTagPr>
          <w:attr w:name="ProductID" w:val="2 см"/>
        </w:smartTagPr>
        <w:r w:rsidRPr="000D4C00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0D4C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абзац – отступ </w:t>
      </w:r>
      <w:smartTag w:uri="urn:schemas-microsoft-com:office:smarttags" w:element="metricconverter">
        <w:smartTagPr>
          <w:attr w:name="ProductID" w:val="1 см"/>
        </w:smartTagPr>
        <w:r w:rsidRPr="000D4C00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 w:rsidRPr="000D4C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75539" w:rsidRPr="000D4C00" w:rsidRDefault="00575539" w:rsidP="00575539">
      <w:pPr>
        <w:widowControl w:val="0"/>
        <w:suppressAutoHyphens/>
        <w:ind w:firstLine="709"/>
        <w:jc w:val="both"/>
      </w:pPr>
      <w:r w:rsidRPr="000D4C00">
        <w:t xml:space="preserve">5. Ссылки на источники и литературу </w:t>
      </w:r>
      <w:proofErr w:type="spellStart"/>
      <w:r w:rsidRPr="000D4C00">
        <w:t>внутритекстовые</w:t>
      </w:r>
      <w:proofErr w:type="spellEnd"/>
      <w:r w:rsidRPr="000D4C00">
        <w:t>, в квадратных скобках. В конце материала приводится список литературы на русском языке (3-5 источников) в соответствии с ГОСТ 7.0.5-2008. Список литературы содержит только те произведения, на которые есть ссылки в тексте. Аб</w:t>
      </w:r>
      <w:r w:rsidRPr="000D4C00">
        <w:softHyphen/>
        <w:t>бревиатуры в статье не допускаются. Литература в списке указывается в алфавитном порядке.</w:t>
      </w:r>
    </w:p>
    <w:p w:rsidR="00575539" w:rsidRPr="000D4C00" w:rsidRDefault="00575539" w:rsidP="00575539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C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0D4C00">
        <w:rPr>
          <w:rFonts w:ascii="Times New Roman" w:hAnsi="Times New Roman" w:cs="Times New Roman"/>
          <w:sz w:val="24"/>
          <w:szCs w:val="24"/>
        </w:rPr>
        <w:t>Название и номера рисунков указываются под рисунками по центру, названия и номера таблиц – над таблицами. Таблицы, схемы, рисунки, формулы, графики не должны выхо</w:t>
      </w:r>
      <w:r w:rsidRPr="000D4C00">
        <w:rPr>
          <w:rFonts w:ascii="Times New Roman" w:hAnsi="Times New Roman" w:cs="Times New Roman"/>
          <w:sz w:val="24"/>
          <w:szCs w:val="24"/>
        </w:rPr>
        <w:softHyphen/>
        <w:t>дить за пределы указанных полей (</w:t>
      </w:r>
      <w:r w:rsidRPr="000D4C00">
        <w:rPr>
          <w:rFonts w:ascii="Times New Roman" w:hAnsi="Times New Roman" w:cs="Times New Roman"/>
          <w:b/>
          <w:sz w:val="24"/>
          <w:szCs w:val="24"/>
        </w:rPr>
        <w:t>шрифт в таблицах и на рисунках</w:t>
      </w:r>
      <w:r w:rsidRPr="000D4C00">
        <w:rPr>
          <w:rFonts w:ascii="Times New Roman" w:hAnsi="Times New Roman" w:cs="Times New Roman"/>
          <w:sz w:val="24"/>
          <w:szCs w:val="24"/>
        </w:rPr>
        <w:t xml:space="preserve"> - 12 </w:t>
      </w:r>
      <w:proofErr w:type="spellStart"/>
      <w:r w:rsidRPr="000D4C00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0D4C00">
        <w:rPr>
          <w:rFonts w:ascii="Times New Roman" w:hAnsi="Times New Roman" w:cs="Times New Roman"/>
          <w:sz w:val="24"/>
          <w:szCs w:val="24"/>
        </w:rPr>
        <w:t>., межстрочный интервал - одинарный).</w:t>
      </w:r>
      <w:r w:rsidRPr="000D4C00">
        <w:rPr>
          <w:rFonts w:ascii="Times New Roman" w:hAnsi="Times New Roman" w:cs="Times New Roman"/>
        </w:rPr>
        <w:t xml:space="preserve"> </w:t>
      </w:r>
      <w:r w:rsidRPr="000D4C00">
        <w:rPr>
          <w:rFonts w:ascii="Times New Roman" w:hAnsi="Times New Roman" w:cs="Times New Roman"/>
          <w:sz w:val="24"/>
          <w:szCs w:val="24"/>
        </w:rPr>
        <w:t xml:space="preserve">Все рисунки и прочие иллюстративные материалы должны быть представлены только в </w:t>
      </w:r>
      <w:r w:rsidRPr="000D4C00">
        <w:rPr>
          <w:rFonts w:ascii="Times New Roman" w:hAnsi="Times New Roman" w:cs="Times New Roman"/>
          <w:b/>
          <w:sz w:val="24"/>
          <w:szCs w:val="24"/>
        </w:rPr>
        <w:t>черно-белом</w:t>
      </w:r>
      <w:r w:rsidRPr="000D4C00">
        <w:rPr>
          <w:rFonts w:ascii="Times New Roman" w:hAnsi="Times New Roman" w:cs="Times New Roman"/>
          <w:sz w:val="24"/>
          <w:szCs w:val="24"/>
        </w:rPr>
        <w:t xml:space="preserve"> исполнении (в том числе графики выполняются с использованием узорной заливки, различных типов штриховки и пр. инструментов визуализации).</w:t>
      </w:r>
    </w:p>
    <w:p w:rsidR="00575539" w:rsidRPr="000D4C00" w:rsidRDefault="00575539" w:rsidP="00575539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C00">
        <w:rPr>
          <w:rFonts w:ascii="Times New Roman" w:hAnsi="Times New Roman" w:cs="Times New Roman"/>
          <w:sz w:val="24"/>
          <w:szCs w:val="24"/>
        </w:rPr>
        <w:t>7. На первой странице статьи слева без отступа – УДК.</w:t>
      </w:r>
    </w:p>
    <w:p w:rsidR="00575539" w:rsidRPr="000D4C00" w:rsidRDefault="00575539" w:rsidP="00575539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C00">
        <w:rPr>
          <w:rFonts w:ascii="Times New Roman" w:hAnsi="Times New Roman" w:cs="Times New Roman"/>
          <w:sz w:val="24"/>
          <w:szCs w:val="24"/>
        </w:rPr>
        <w:t>8. Файл с прилагаемыми материалами необходимо назвать фамилией первого автора (Петров.</w:t>
      </w:r>
      <w:r w:rsidRPr="000D4C0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0D4C0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D4C00">
        <w:rPr>
          <w:rFonts w:ascii="Times New Roman" w:hAnsi="Times New Roman" w:cs="Times New Roman"/>
          <w:sz w:val="24"/>
          <w:szCs w:val="24"/>
        </w:rPr>
        <w:t>Petrov</w:t>
      </w:r>
      <w:proofErr w:type="spellEnd"/>
      <w:r w:rsidRPr="000D4C00">
        <w:rPr>
          <w:rFonts w:ascii="Times New Roman" w:hAnsi="Times New Roman" w:cs="Times New Roman"/>
          <w:sz w:val="24"/>
          <w:szCs w:val="24"/>
        </w:rPr>
        <w:t>.</w:t>
      </w:r>
      <w:r w:rsidRPr="000D4C0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0D4C00">
        <w:rPr>
          <w:rFonts w:ascii="Times New Roman" w:hAnsi="Times New Roman" w:cs="Times New Roman"/>
          <w:sz w:val="24"/>
          <w:szCs w:val="24"/>
        </w:rPr>
        <w:t>).</w:t>
      </w:r>
    </w:p>
    <w:p w:rsidR="00575539" w:rsidRPr="000D4C00" w:rsidRDefault="00575539" w:rsidP="00575539">
      <w:pPr>
        <w:widowControl w:val="0"/>
        <w:suppressAutoHyphens/>
        <w:ind w:left="-142" w:firstLine="397"/>
        <w:jc w:val="both"/>
        <w:rPr>
          <w:b/>
          <w:bCs/>
        </w:rPr>
      </w:pPr>
    </w:p>
    <w:p w:rsidR="00575539" w:rsidRPr="000D4C00" w:rsidRDefault="00575539" w:rsidP="00575539">
      <w:pPr>
        <w:widowControl w:val="0"/>
        <w:suppressAutoHyphens/>
        <w:ind w:left="-142" w:firstLine="709"/>
        <w:jc w:val="center"/>
        <w:rPr>
          <w:b/>
        </w:rPr>
      </w:pPr>
      <w:r w:rsidRPr="000D4C00">
        <w:rPr>
          <w:b/>
        </w:rPr>
        <w:t>Пример оформления статьи</w:t>
      </w:r>
    </w:p>
    <w:p w:rsidR="00575539" w:rsidRPr="000D4C00" w:rsidRDefault="00575539" w:rsidP="00575539">
      <w:pPr>
        <w:shd w:val="clear" w:color="auto" w:fill="FFFFFF"/>
        <w:suppressAutoHyphens/>
        <w:spacing w:line="288" w:lineRule="auto"/>
        <w:ind w:left="-142"/>
        <w:jc w:val="both"/>
        <w:outlineLvl w:val="1"/>
        <w:rPr>
          <w:bCs/>
          <w:sz w:val="28"/>
          <w:szCs w:val="28"/>
        </w:rPr>
      </w:pPr>
      <w:r w:rsidRPr="000D4C00">
        <w:rPr>
          <w:bCs/>
          <w:sz w:val="28"/>
          <w:szCs w:val="28"/>
        </w:rPr>
        <w:t>УДК 316.614</w:t>
      </w:r>
    </w:p>
    <w:p w:rsidR="00575539" w:rsidRPr="000D4C00" w:rsidRDefault="00575539" w:rsidP="00575539">
      <w:pPr>
        <w:suppressAutoHyphens/>
        <w:ind w:firstLine="567"/>
        <w:contextualSpacing/>
        <w:jc w:val="right"/>
        <w:rPr>
          <w:sz w:val="28"/>
          <w:szCs w:val="28"/>
        </w:rPr>
      </w:pPr>
      <w:r w:rsidRPr="000D4C00">
        <w:rPr>
          <w:sz w:val="28"/>
          <w:szCs w:val="28"/>
        </w:rPr>
        <w:t>Иванов Иван Иванович</w:t>
      </w:r>
    </w:p>
    <w:p w:rsidR="00575539" w:rsidRPr="000D4C00" w:rsidRDefault="00575539" w:rsidP="00575539">
      <w:pPr>
        <w:suppressAutoHyphens/>
        <w:ind w:firstLine="567"/>
        <w:contextualSpacing/>
        <w:jc w:val="right"/>
        <w:rPr>
          <w:sz w:val="28"/>
          <w:szCs w:val="28"/>
        </w:rPr>
      </w:pPr>
      <w:r w:rsidRPr="000D4C00">
        <w:rPr>
          <w:sz w:val="28"/>
          <w:szCs w:val="28"/>
        </w:rPr>
        <w:t xml:space="preserve">д-р </w:t>
      </w:r>
      <w:proofErr w:type="spellStart"/>
      <w:r w:rsidRPr="000D4C00">
        <w:rPr>
          <w:sz w:val="28"/>
          <w:szCs w:val="28"/>
        </w:rPr>
        <w:t>экон</w:t>
      </w:r>
      <w:proofErr w:type="spellEnd"/>
      <w:r w:rsidRPr="000D4C00">
        <w:rPr>
          <w:sz w:val="28"/>
          <w:szCs w:val="28"/>
        </w:rPr>
        <w:t>. наук, профессор ГБОУ ВО «</w:t>
      </w:r>
      <w:proofErr w:type="spellStart"/>
      <w:r w:rsidRPr="000D4C00">
        <w:rPr>
          <w:sz w:val="28"/>
          <w:szCs w:val="28"/>
        </w:rPr>
        <w:t>Бузулукский</w:t>
      </w:r>
      <w:proofErr w:type="spellEnd"/>
      <w:r w:rsidRPr="000D4C00">
        <w:rPr>
          <w:sz w:val="28"/>
          <w:szCs w:val="28"/>
        </w:rPr>
        <w:t xml:space="preserve"> </w:t>
      </w:r>
    </w:p>
    <w:p w:rsidR="00575539" w:rsidRPr="000D4C00" w:rsidRDefault="00575539" w:rsidP="00575539">
      <w:pPr>
        <w:suppressAutoHyphens/>
        <w:ind w:firstLine="567"/>
        <w:contextualSpacing/>
        <w:jc w:val="right"/>
        <w:rPr>
          <w:sz w:val="28"/>
          <w:szCs w:val="28"/>
        </w:rPr>
      </w:pPr>
      <w:r w:rsidRPr="000D4C00">
        <w:rPr>
          <w:sz w:val="28"/>
          <w:szCs w:val="28"/>
        </w:rPr>
        <w:t xml:space="preserve">гуманитарно-технологический институт (филиал) ОГУ» </w:t>
      </w:r>
      <w:bookmarkStart w:id="1" w:name="_Hlk64648292"/>
    </w:p>
    <w:p w:rsidR="00575539" w:rsidRPr="000D4C00" w:rsidRDefault="00575539" w:rsidP="00575539">
      <w:pPr>
        <w:suppressAutoHyphens/>
        <w:ind w:firstLine="567"/>
        <w:contextualSpacing/>
        <w:jc w:val="right"/>
        <w:rPr>
          <w:sz w:val="28"/>
          <w:szCs w:val="28"/>
        </w:rPr>
      </w:pPr>
      <w:r w:rsidRPr="000D4C00">
        <w:rPr>
          <w:sz w:val="28"/>
          <w:szCs w:val="28"/>
          <w:lang w:val="en-US"/>
        </w:rPr>
        <w:t>email</w:t>
      </w:r>
      <w:r w:rsidRPr="000D4C00">
        <w:rPr>
          <w:sz w:val="28"/>
          <w:szCs w:val="28"/>
        </w:rPr>
        <w:t>@</w:t>
      </w:r>
      <w:r w:rsidRPr="000D4C00">
        <w:rPr>
          <w:sz w:val="28"/>
          <w:szCs w:val="28"/>
          <w:lang w:val="en-US"/>
        </w:rPr>
        <w:t>mail</w:t>
      </w:r>
      <w:r w:rsidRPr="000D4C00">
        <w:rPr>
          <w:sz w:val="28"/>
          <w:szCs w:val="28"/>
        </w:rPr>
        <w:t>.</w:t>
      </w:r>
      <w:proofErr w:type="spellStart"/>
      <w:r w:rsidRPr="000D4C00">
        <w:rPr>
          <w:sz w:val="28"/>
          <w:szCs w:val="28"/>
          <w:lang w:val="en-US"/>
        </w:rPr>
        <w:t>ru</w:t>
      </w:r>
      <w:bookmarkEnd w:id="1"/>
      <w:proofErr w:type="spellEnd"/>
    </w:p>
    <w:p w:rsidR="00575539" w:rsidRPr="000D4C00" w:rsidRDefault="00575539" w:rsidP="00575539">
      <w:pPr>
        <w:suppressAutoHyphens/>
        <w:ind w:firstLine="567"/>
        <w:contextualSpacing/>
        <w:jc w:val="right"/>
        <w:rPr>
          <w:sz w:val="28"/>
          <w:szCs w:val="28"/>
        </w:rPr>
      </w:pPr>
      <w:r w:rsidRPr="000D4C00">
        <w:rPr>
          <w:sz w:val="28"/>
          <w:szCs w:val="28"/>
        </w:rPr>
        <w:t>Завьялова Инна Валерьевна</w:t>
      </w:r>
    </w:p>
    <w:p w:rsidR="00575539" w:rsidRPr="000D4C00" w:rsidRDefault="00575539" w:rsidP="00575539">
      <w:pPr>
        <w:suppressAutoHyphens/>
        <w:ind w:firstLine="567"/>
        <w:contextualSpacing/>
        <w:jc w:val="right"/>
        <w:rPr>
          <w:sz w:val="28"/>
          <w:szCs w:val="28"/>
        </w:rPr>
      </w:pPr>
      <w:r w:rsidRPr="000D4C00">
        <w:rPr>
          <w:sz w:val="28"/>
          <w:szCs w:val="28"/>
        </w:rPr>
        <w:t xml:space="preserve"> канд. </w:t>
      </w:r>
      <w:proofErr w:type="spellStart"/>
      <w:r w:rsidRPr="000D4C00">
        <w:rPr>
          <w:sz w:val="28"/>
          <w:szCs w:val="28"/>
        </w:rPr>
        <w:t>экон</w:t>
      </w:r>
      <w:proofErr w:type="spellEnd"/>
      <w:r w:rsidRPr="000D4C00">
        <w:rPr>
          <w:sz w:val="28"/>
          <w:szCs w:val="28"/>
        </w:rPr>
        <w:t>. наук, доцент ГБОУ ВО «</w:t>
      </w:r>
      <w:proofErr w:type="spellStart"/>
      <w:r w:rsidRPr="000D4C00">
        <w:rPr>
          <w:sz w:val="28"/>
          <w:szCs w:val="28"/>
        </w:rPr>
        <w:t>Бузулукский</w:t>
      </w:r>
      <w:proofErr w:type="spellEnd"/>
      <w:r w:rsidRPr="000D4C00">
        <w:rPr>
          <w:sz w:val="28"/>
          <w:szCs w:val="28"/>
        </w:rPr>
        <w:t xml:space="preserve"> </w:t>
      </w:r>
    </w:p>
    <w:p w:rsidR="00575539" w:rsidRPr="000D4C00" w:rsidRDefault="00575539" w:rsidP="00575539">
      <w:pPr>
        <w:suppressAutoHyphens/>
        <w:ind w:firstLine="567"/>
        <w:contextualSpacing/>
        <w:jc w:val="right"/>
        <w:rPr>
          <w:sz w:val="28"/>
          <w:szCs w:val="28"/>
        </w:rPr>
      </w:pPr>
      <w:r w:rsidRPr="000D4C00">
        <w:rPr>
          <w:sz w:val="28"/>
          <w:szCs w:val="28"/>
        </w:rPr>
        <w:t xml:space="preserve">гуманитарно-технологический институт (филиал) ОГУ» </w:t>
      </w:r>
    </w:p>
    <w:p w:rsidR="00575539" w:rsidRPr="000D4C00" w:rsidRDefault="00575539" w:rsidP="00575539">
      <w:pPr>
        <w:suppressAutoHyphens/>
        <w:ind w:firstLine="567"/>
        <w:contextualSpacing/>
        <w:jc w:val="right"/>
        <w:rPr>
          <w:sz w:val="28"/>
          <w:szCs w:val="28"/>
        </w:rPr>
      </w:pPr>
      <w:bookmarkStart w:id="2" w:name="_Hlk92976013"/>
      <w:r w:rsidRPr="000D4C00">
        <w:rPr>
          <w:sz w:val="28"/>
          <w:szCs w:val="28"/>
          <w:lang w:val="en-US"/>
        </w:rPr>
        <w:t>email</w:t>
      </w:r>
      <w:r w:rsidRPr="000D4C00">
        <w:rPr>
          <w:sz w:val="28"/>
          <w:szCs w:val="28"/>
        </w:rPr>
        <w:t>@</w:t>
      </w:r>
      <w:r w:rsidRPr="000D4C00">
        <w:rPr>
          <w:sz w:val="28"/>
          <w:szCs w:val="28"/>
          <w:lang w:val="en-US"/>
        </w:rPr>
        <w:t>mail</w:t>
      </w:r>
      <w:r w:rsidRPr="000D4C00">
        <w:rPr>
          <w:sz w:val="28"/>
          <w:szCs w:val="28"/>
        </w:rPr>
        <w:t>.</w:t>
      </w:r>
      <w:proofErr w:type="spellStart"/>
      <w:r w:rsidRPr="000D4C00">
        <w:rPr>
          <w:sz w:val="28"/>
          <w:szCs w:val="28"/>
          <w:lang w:val="en-US"/>
        </w:rPr>
        <w:t>ru</w:t>
      </w:r>
      <w:proofErr w:type="spellEnd"/>
    </w:p>
    <w:bookmarkEnd w:id="2"/>
    <w:p w:rsidR="00575539" w:rsidRPr="000D4C00" w:rsidRDefault="00575539" w:rsidP="00575539">
      <w:pPr>
        <w:shd w:val="clear" w:color="auto" w:fill="FFFFFF"/>
        <w:suppressAutoHyphens/>
        <w:ind w:firstLine="567"/>
        <w:jc w:val="right"/>
        <w:outlineLvl w:val="1"/>
        <w:rPr>
          <w:b/>
          <w:bCs/>
          <w:i/>
          <w:sz w:val="28"/>
          <w:szCs w:val="28"/>
        </w:rPr>
      </w:pPr>
    </w:p>
    <w:p w:rsidR="00575539" w:rsidRPr="000D4C00" w:rsidRDefault="00575539" w:rsidP="00575539">
      <w:pPr>
        <w:suppressAutoHyphens/>
        <w:ind w:firstLine="567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0D4C00">
        <w:rPr>
          <w:b/>
          <w:caps/>
          <w:sz w:val="28"/>
          <w:szCs w:val="28"/>
        </w:rPr>
        <w:t xml:space="preserve">Налоговая нагрузка организации </w:t>
      </w:r>
      <w:r w:rsidRPr="000D4C00">
        <w:rPr>
          <w:b/>
          <w:caps/>
          <w:sz w:val="28"/>
          <w:szCs w:val="28"/>
        </w:rPr>
        <w:br/>
        <w:t>и пути ее оптимизации</w:t>
      </w:r>
    </w:p>
    <w:p w:rsidR="00575539" w:rsidRPr="000D4C00" w:rsidRDefault="00575539" w:rsidP="0057553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539" w:rsidRPr="000D4C00" w:rsidRDefault="00575539" w:rsidP="0057553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C00">
        <w:rPr>
          <w:rFonts w:ascii="Times New Roman" w:hAnsi="Times New Roman" w:cs="Times New Roman"/>
          <w:i/>
          <w:sz w:val="28"/>
          <w:szCs w:val="28"/>
        </w:rPr>
        <w:t xml:space="preserve">В статье отражена сущность налоговой нагрузки предприятий. Приводится результат сравнительного анализа методик расчета налоговой нагрузки.  Показывается влияние налоговой политики на финансовый результат деятельности предприятия.  Описываются разработанные авторами </w:t>
      </w:r>
      <w:r w:rsidRPr="000D4C00">
        <w:rPr>
          <w:rFonts w:ascii="Times New Roman" w:hAnsi="Times New Roman" w:cs="Times New Roman"/>
          <w:i/>
          <w:sz w:val="28"/>
          <w:szCs w:val="28"/>
        </w:rPr>
        <w:lastRenderedPageBreak/>
        <w:t>мероприятия по оптимизации налоговой нагрузки публичного акционерного общества «</w:t>
      </w:r>
      <w:proofErr w:type="spellStart"/>
      <w:r w:rsidRPr="000D4C00">
        <w:rPr>
          <w:rFonts w:ascii="Times New Roman" w:hAnsi="Times New Roman" w:cs="Times New Roman"/>
          <w:i/>
          <w:sz w:val="28"/>
          <w:szCs w:val="28"/>
        </w:rPr>
        <w:t>Оренбургнефть</w:t>
      </w:r>
      <w:proofErr w:type="spellEnd"/>
      <w:r w:rsidRPr="000D4C00">
        <w:rPr>
          <w:rFonts w:ascii="Times New Roman" w:hAnsi="Times New Roman" w:cs="Times New Roman"/>
          <w:i/>
          <w:sz w:val="28"/>
          <w:szCs w:val="28"/>
        </w:rPr>
        <w:t>».</w:t>
      </w:r>
    </w:p>
    <w:p w:rsidR="00575539" w:rsidRPr="000D4C00" w:rsidRDefault="00575539" w:rsidP="0057553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C00">
        <w:rPr>
          <w:rFonts w:ascii="Times New Roman" w:hAnsi="Times New Roman" w:cs="Times New Roman"/>
          <w:i/>
          <w:sz w:val="28"/>
          <w:szCs w:val="28"/>
        </w:rPr>
        <w:t>Ключевые слова: бизнес, предприятие, корпоративное управление, налоговая нагрузка, налоговая оптимизация, налоговая политика.</w:t>
      </w:r>
    </w:p>
    <w:p w:rsidR="00575539" w:rsidRPr="000D4C00" w:rsidRDefault="00575539" w:rsidP="00575539">
      <w:pPr>
        <w:suppressAutoHyphens/>
        <w:ind w:firstLine="567"/>
        <w:contextualSpacing/>
        <w:jc w:val="right"/>
        <w:rPr>
          <w:rFonts w:eastAsiaTheme="minorEastAsia"/>
          <w:sz w:val="28"/>
          <w:szCs w:val="28"/>
        </w:rPr>
      </w:pPr>
    </w:p>
    <w:p w:rsidR="00575539" w:rsidRPr="000D4C00" w:rsidRDefault="00575539" w:rsidP="00575539">
      <w:pPr>
        <w:suppressAutoHyphens/>
        <w:ind w:firstLine="567"/>
        <w:contextualSpacing/>
        <w:jc w:val="right"/>
        <w:rPr>
          <w:rFonts w:eastAsiaTheme="minorEastAsia"/>
          <w:sz w:val="28"/>
          <w:szCs w:val="28"/>
          <w:lang w:val="en-US"/>
        </w:rPr>
      </w:pPr>
      <w:r w:rsidRPr="000D4C00">
        <w:rPr>
          <w:rFonts w:eastAsiaTheme="minorEastAsia"/>
          <w:sz w:val="28"/>
          <w:szCs w:val="28"/>
          <w:lang w:val="en-US"/>
        </w:rPr>
        <w:t xml:space="preserve">Ivanov Ivan </w:t>
      </w:r>
      <w:proofErr w:type="spellStart"/>
      <w:r w:rsidRPr="000D4C00">
        <w:rPr>
          <w:rFonts w:eastAsiaTheme="minorEastAsia"/>
          <w:sz w:val="28"/>
          <w:szCs w:val="28"/>
          <w:lang w:val="en-US"/>
        </w:rPr>
        <w:t>Ivanovich</w:t>
      </w:r>
      <w:proofErr w:type="spellEnd"/>
    </w:p>
    <w:p w:rsidR="00575539" w:rsidRPr="000D4C00" w:rsidRDefault="00575539" w:rsidP="00575539">
      <w:pPr>
        <w:suppressAutoHyphens/>
        <w:ind w:firstLine="567"/>
        <w:contextualSpacing/>
        <w:jc w:val="right"/>
        <w:rPr>
          <w:rFonts w:eastAsiaTheme="minorEastAsia"/>
          <w:sz w:val="28"/>
          <w:szCs w:val="28"/>
          <w:lang w:val="en-US"/>
        </w:rPr>
      </w:pPr>
      <w:r w:rsidRPr="000D4C00">
        <w:rPr>
          <w:rFonts w:eastAsiaTheme="minorEastAsia"/>
          <w:sz w:val="28"/>
          <w:szCs w:val="28"/>
          <w:lang w:val="en-US"/>
        </w:rPr>
        <w:t xml:space="preserve">Doctor of Economics, Professor of the State Budgetary </w:t>
      </w:r>
    </w:p>
    <w:p w:rsidR="00575539" w:rsidRPr="000D4C00" w:rsidRDefault="00575539" w:rsidP="00575539">
      <w:pPr>
        <w:suppressAutoHyphens/>
        <w:ind w:firstLine="567"/>
        <w:contextualSpacing/>
        <w:jc w:val="right"/>
        <w:rPr>
          <w:rFonts w:eastAsiaTheme="minorEastAsia"/>
          <w:sz w:val="28"/>
          <w:szCs w:val="28"/>
          <w:lang w:val="en-US"/>
        </w:rPr>
      </w:pPr>
      <w:r w:rsidRPr="000D4C00">
        <w:rPr>
          <w:rFonts w:eastAsiaTheme="minorEastAsia"/>
          <w:sz w:val="28"/>
          <w:szCs w:val="28"/>
          <w:lang w:val="en-US"/>
        </w:rPr>
        <w:t>Educational Institution of Higher Education</w:t>
      </w:r>
    </w:p>
    <w:p w:rsidR="00575539" w:rsidRPr="000D4C00" w:rsidRDefault="00575539" w:rsidP="00575539">
      <w:pPr>
        <w:suppressAutoHyphens/>
        <w:ind w:firstLine="567"/>
        <w:contextualSpacing/>
        <w:jc w:val="right"/>
        <w:rPr>
          <w:rFonts w:eastAsiaTheme="minorEastAsia"/>
          <w:sz w:val="28"/>
          <w:szCs w:val="28"/>
          <w:lang w:val="en-US"/>
        </w:rPr>
      </w:pPr>
      <w:r w:rsidRPr="000D4C00">
        <w:rPr>
          <w:rFonts w:eastAsiaTheme="minorEastAsia"/>
          <w:sz w:val="28"/>
          <w:szCs w:val="28"/>
          <w:lang w:val="en-US"/>
        </w:rPr>
        <w:t>«</w:t>
      </w:r>
      <w:proofErr w:type="spellStart"/>
      <w:r w:rsidRPr="000D4C00">
        <w:rPr>
          <w:rFonts w:eastAsiaTheme="minorEastAsia"/>
          <w:sz w:val="28"/>
          <w:szCs w:val="28"/>
          <w:lang w:val="en-US"/>
        </w:rPr>
        <w:t>Buzuluk</w:t>
      </w:r>
      <w:proofErr w:type="spellEnd"/>
      <w:r w:rsidRPr="000D4C00">
        <w:rPr>
          <w:rFonts w:eastAsiaTheme="minorEastAsia"/>
          <w:sz w:val="28"/>
          <w:szCs w:val="28"/>
          <w:lang w:val="en-US"/>
        </w:rPr>
        <w:t xml:space="preserve"> Humanitarian and Technological Institute (branch) OSU»</w:t>
      </w:r>
    </w:p>
    <w:p w:rsidR="00575539" w:rsidRPr="000D4C00" w:rsidRDefault="00575539" w:rsidP="00575539">
      <w:pPr>
        <w:suppressAutoHyphens/>
        <w:ind w:firstLine="567"/>
        <w:contextualSpacing/>
        <w:jc w:val="right"/>
        <w:rPr>
          <w:rFonts w:eastAsiaTheme="minorEastAsia"/>
          <w:sz w:val="28"/>
          <w:szCs w:val="28"/>
          <w:lang w:val="en-US"/>
        </w:rPr>
      </w:pPr>
      <w:r w:rsidRPr="000D4C00">
        <w:rPr>
          <w:rFonts w:eastAsiaTheme="minorEastAsia"/>
          <w:sz w:val="28"/>
          <w:szCs w:val="28"/>
          <w:lang w:val="en-US"/>
        </w:rPr>
        <w:t>email@mail.ru</w:t>
      </w:r>
    </w:p>
    <w:p w:rsidR="00575539" w:rsidRPr="000D4C00" w:rsidRDefault="00575539" w:rsidP="00575539">
      <w:pPr>
        <w:suppressAutoHyphens/>
        <w:ind w:firstLine="567"/>
        <w:contextualSpacing/>
        <w:jc w:val="right"/>
        <w:rPr>
          <w:rFonts w:eastAsiaTheme="minorEastAsia"/>
          <w:sz w:val="28"/>
          <w:szCs w:val="28"/>
          <w:lang w:val="en-US"/>
        </w:rPr>
      </w:pPr>
      <w:proofErr w:type="spellStart"/>
      <w:r w:rsidRPr="000D4C00">
        <w:rPr>
          <w:rFonts w:eastAsiaTheme="minorEastAsia"/>
          <w:sz w:val="28"/>
          <w:szCs w:val="28"/>
          <w:lang w:val="en-US"/>
        </w:rPr>
        <w:t>Zavyalova</w:t>
      </w:r>
      <w:proofErr w:type="spellEnd"/>
      <w:r w:rsidRPr="000D4C00">
        <w:rPr>
          <w:rFonts w:eastAsiaTheme="minorEastAsia"/>
          <w:sz w:val="28"/>
          <w:szCs w:val="28"/>
          <w:lang w:val="en-US"/>
        </w:rPr>
        <w:t xml:space="preserve"> Inna </w:t>
      </w:r>
      <w:proofErr w:type="spellStart"/>
      <w:r w:rsidRPr="000D4C00">
        <w:rPr>
          <w:rFonts w:eastAsiaTheme="minorEastAsia"/>
          <w:sz w:val="28"/>
          <w:szCs w:val="28"/>
          <w:lang w:val="en-US"/>
        </w:rPr>
        <w:t>Valerievna</w:t>
      </w:r>
      <w:proofErr w:type="spellEnd"/>
    </w:p>
    <w:p w:rsidR="00575539" w:rsidRPr="000D4C00" w:rsidRDefault="00575539" w:rsidP="00575539">
      <w:pPr>
        <w:suppressAutoHyphens/>
        <w:ind w:firstLine="567"/>
        <w:contextualSpacing/>
        <w:jc w:val="right"/>
        <w:rPr>
          <w:rFonts w:eastAsiaTheme="minorEastAsia"/>
          <w:sz w:val="28"/>
          <w:szCs w:val="28"/>
          <w:lang w:val="en-US"/>
        </w:rPr>
      </w:pPr>
      <w:r w:rsidRPr="000D4C00">
        <w:rPr>
          <w:rFonts w:eastAsiaTheme="minorEastAsia"/>
          <w:sz w:val="28"/>
          <w:szCs w:val="28"/>
          <w:lang w:val="en-US"/>
        </w:rPr>
        <w:t>Candidate of Economic Sciences, Associate Professor of the State Budgetary Educational Institution of Higher Education «</w:t>
      </w:r>
      <w:proofErr w:type="spellStart"/>
      <w:r w:rsidRPr="000D4C00">
        <w:rPr>
          <w:rFonts w:eastAsiaTheme="minorEastAsia"/>
          <w:sz w:val="28"/>
          <w:szCs w:val="28"/>
          <w:lang w:val="en-US"/>
        </w:rPr>
        <w:t>Buzuluk</w:t>
      </w:r>
      <w:proofErr w:type="spellEnd"/>
    </w:p>
    <w:p w:rsidR="00575539" w:rsidRPr="000D4C00" w:rsidRDefault="00575539" w:rsidP="00575539">
      <w:pPr>
        <w:suppressAutoHyphens/>
        <w:ind w:firstLine="567"/>
        <w:contextualSpacing/>
        <w:jc w:val="right"/>
        <w:rPr>
          <w:rFonts w:eastAsiaTheme="minorEastAsia"/>
          <w:sz w:val="28"/>
          <w:szCs w:val="28"/>
          <w:lang w:val="en-US"/>
        </w:rPr>
      </w:pPr>
      <w:r w:rsidRPr="000D4C00">
        <w:rPr>
          <w:rFonts w:eastAsiaTheme="minorEastAsia"/>
          <w:sz w:val="28"/>
          <w:szCs w:val="28"/>
          <w:lang w:val="en-US"/>
        </w:rPr>
        <w:t>Humanitarian and Technological Institute (branch) OSU»</w:t>
      </w:r>
    </w:p>
    <w:p w:rsidR="00575539" w:rsidRPr="000D4C00" w:rsidRDefault="00575539" w:rsidP="00575539">
      <w:pPr>
        <w:suppressAutoHyphens/>
        <w:ind w:firstLine="567"/>
        <w:contextualSpacing/>
        <w:jc w:val="right"/>
        <w:rPr>
          <w:sz w:val="28"/>
          <w:szCs w:val="28"/>
          <w:lang w:val="en-US"/>
        </w:rPr>
      </w:pPr>
      <w:r w:rsidRPr="000D4C00">
        <w:rPr>
          <w:sz w:val="28"/>
          <w:szCs w:val="28"/>
          <w:lang w:val="en-US"/>
        </w:rPr>
        <w:t>email@mail.ru</w:t>
      </w:r>
    </w:p>
    <w:p w:rsidR="00575539" w:rsidRPr="000D4C00" w:rsidRDefault="00575539" w:rsidP="00575539">
      <w:pPr>
        <w:suppressAutoHyphens/>
        <w:ind w:firstLine="567"/>
        <w:contextualSpacing/>
        <w:jc w:val="right"/>
        <w:rPr>
          <w:rFonts w:eastAsiaTheme="minorEastAsia"/>
          <w:b/>
          <w:i/>
          <w:sz w:val="28"/>
          <w:szCs w:val="28"/>
          <w:lang w:val="en-US"/>
        </w:rPr>
      </w:pPr>
    </w:p>
    <w:p w:rsidR="00575539" w:rsidRPr="000D4C00" w:rsidRDefault="00575539" w:rsidP="00575539">
      <w:pPr>
        <w:pStyle w:val="a3"/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4C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ROLE OF THE ABVERISE IN PROMOTION OF GOODS VIA </w:t>
      </w:r>
    </w:p>
    <w:p w:rsidR="00575539" w:rsidRPr="000D4C00" w:rsidRDefault="00575539" w:rsidP="00575539">
      <w:pPr>
        <w:pStyle w:val="a3"/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4C00">
        <w:rPr>
          <w:rFonts w:ascii="Times New Roman" w:hAnsi="Times New Roman" w:cs="Times New Roman"/>
          <w:b/>
          <w:sz w:val="28"/>
          <w:szCs w:val="28"/>
          <w:lang w:val="en-US"/>
        </w:rPr>
        <w:t>THE INTERNET</w:t>
      </w:r>
    </w:p>
    <w:p w:rsidR="00575539" w:rsidRPr="000D4C00" w:rsidRDefault="00575539" w:rsidP="00575539">
      <w:pPr>
        <w:suppressAutoHyphens/>
        <w:ind w:firstLine="567"/>
        <w:contextualSpacing/>
        <w:jc w:val="both"/>
        <w:rPr>
          <w:i/>
          <w:sz w:val="28"/>
          <w:szCs w:val="28"/>
          <w:lang w:val="en-US"/>
        </w:rPr>
      </w:pPr>
    </w:p>
    <w:p w:rsidR="00575539" w:rsidRPr="000D4C00" w:rsidRDefault="00575539" w:rsidP="00575539">
      <w:pPr>
        <w:suppressAutoHyphens/>
        <w:ind w:firstLine="567"/>
        <w:contextualSpacing/>
        <w:jc w:val="both"/>
        <w:rPr>
          <w:i/>
          <w:sz w:val="28"/>
          <w:szCs w:val="28"/>
          <w:lang w:val="en-US"/>
        </w:rPr>
      </w:pPr>
      <w:r w:rsidRPr="000D4C00">
        <w:rPr>
          <w:i/>
          <w:sz w:val="28"/>
          <w:szCs w:val="28"/>
          <w:lang w:val="en-US"/>
        </w:rPr>
        <w:t xml:space="preserve">The article reflects the essence of the tax burden of enterprises. The result of a comparative analysis of the methods for calculating the tax burden is given. The influence of the tax policy on the financial result of the enterprise activity </w:t>
      </w:r>
      <w:proofErr w:type="gramStart"/>
      <w:r w:rsidRPr="000D4C00">
        <w:rPr>
          <w:i/>
          <w:sz w:val="28"/>
          <w:szCs w:val="28"/>
          <w:lang w:val="en-US"/>
        </w:rPr>
        <w:t>is shown</w:t>
      </w:r>
      <w:proofErr w:type="gramEnd"/>
      <w:r w:rsidRPr="000D4C00">
        <w:rPr>
          <w:i/>
          <w:sz w:val="28"/>
          <w:szCs w:val="28"/>
          <w:lang w:val="en-US"/>
        </w:rPr>
        <w:t xml:space="preserve">. Describes the measures developed by the authors to optimize the tax burden of the public joint-stock company </w:t>
      </w:r>
      <w:proofErr w:type="spellStart"/>
      <w:r w:rsidRPr="000D4C00">
        <w:rPr>
          <w:i/>
          <w:sz w:val="28"/>
          <w:szCs w:val="28"/>
          <w:lang w:val="en-US"/>
        </w:rPr>
        <w:t>Orenburgneft</w:t>
      </w:r>
      <w:proofErr w:type="spellEnd"/>
      <w:r w:rsidRPr="000D4C00">
        <w:rPr>
          <w:i/>
          <w:sz w:val="28"/>
          <w:szCs w:val="28"/>
          <w:lang w:val="en-US"/>
        </w:rPr>
        <w:t>.</w:t>
      </w:r>
    </w:p>
    <w:p w:rsidR="00575539" w:rsidRPr="000D4C00" w:rsidRDefault="00575539" w:rsidP="00575539">
      <w:pPr>
        <w:suppressAutoHyphens/>
        <w:ind w:firstLine="567"/>
        <w:contextualSpacing/>
        <w:jc w:val="both"/>
        <w:rPr>
          <w:i/>
          <w:sz w:val="28"/>
          <w:szCs w:val="28"/>
          <w:lang w:val="en-US"/>
        </w:rPr>
      </w:pPr>
      <w:r w:rsidRPr="000D4C00">
        <w:rPr>
          <w:i/>
          <w:sz w:val="28"/>
          <w:szCs w:val="28"/>
          <w:lang w:val="en-US"/>
        </w:rPr>
        <w:t>Keywords: business, enterprise, corporate governance, tax burden, tax optimization, tax policy.</w:t>
      </w:r>
    </w:p>
    <w:p w:rsidR="00575539" w:rsidRPr="000D4C00" w:rsidRDefault="00575539" w:rsidP="00575539">
      <w:pPr>
        <w:shd w:val="clear" w:color="auto" w:fill="FFFFFF"/>
        <w:suppressAutoHyphens/>
        <w:ind w:firstLine="567"/>
        <w:jc w:val="both"/>
        <w:rPr>
          <w:sz w:val="28"/>
          <w:szCs w:val="28"/>
          <w:lang w:val="en-US"/>
        </w:rPr>
      </w:pPr>
    </w:p>
    <w:p w:rsidR="00575539" w:rsidRPr="000D4C00" w:rsidRDefault="00575539" w:rsidP="00575539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0D4C00">
        <w:rPr>
          <w:sz w:val="28"/>
          <w:szCs w:val="28"/>
        </w:rPr>
        <w:t xml:space="preserve">Деятельность каждой организации, начиная с момента ее создания, связана с получением тех или иных материальных благ, обусловлена неизменным стремлением к извлечению максимально возможной прибыли. </w:t>
      </w:r>
    </w:p>
    <w:p w:rsidR="00575539" w:rsidRPr="000D4C00" w:rsidRDefault="00575539" w:rsidP="00575539">
      <w:pPr>
        <w:suppressAutoHyphens/>
        <w:ind w:firstLine="567"/>
        <w:contextualSpacing/>
        <w:jc w:val="both"/>
        <w:rPr>
          <w:sz w:val="28"/>
          <w:szCs w:val="28"/>
        </w:rPr>
      </w:pPr>
      <w:r w:rsidRPr="000D4C00">
        <w:rPr>
          <w:sz w:val="28"/>
          <w:szCs w:val="28"/>
        </w:rPr>
        <w:t>Анализ налоговой нагрузки целесообразно начинать с расчета налоговых платежей и показателей, необходимых для расчета налоговых платежей [5].  Полученные данные отражены в таблице 1.</w:t>
      </w:r>
    </w:p>
    <w:p w:rsidR="00575539" w:rsidRPr="000D4C00" w:rsidRDefault="00575539" w:rsidP="00575539">
      <w:pPr>
        <w:suppressAutoHyphens/>
        <w:spacing w:line="288" w:lineRule="auto"/>
        <w:ind w:left="-142" w:firstLine="454"/>
        <w:contextualSpacing/>
        <w:jc w:val="both"/>
        <w:rPr>
          <w:sz w:val="16"/>
          <w:szCs w:val="16"/>
        </w:rPr>
      </w:pPr>
    </w:p>
    <w:p w:rsidR="00575539" w:rsidRPr="000D4C00" w:rsidRDefault="00575539" w:rsidP="00575539">
      <w:pPr>
        <w:suppressAutoHyphens/>
        <w:spacing w:line="288" w:lineRule="auto"/>
        <w:ind w:left="-142" w:firstLine="454"/>
        <w:contextualSpacing/>
        <w:jc w:val="right"/>
        <w:rPr>
          <w:i/>
          <w:sz w:val="28"/>
          <w:szCs w:val="28"/>
        </w:rPr>
      </w:pPr>
      <w:r w:rsidRPr="000D4C00">
        <w:rPr>
          <w:i/>
          <w:sz w:val="28"/>
          <w:szCs w:val="28"/>
        </w:rPr>
        <w:t>Таблица 1</w:t>
      </w:r>
    </w:p>
    <w:p w:rsidR="00575539" w:rsidRPr="000D4C00" w:rsidRDefault="00575539" w:rsidP="00575539">
      <w:pPr>
        <w:suppressAutoHyphens/>
        <w:spacing w:line="288" w:lineRule="auto"/>
        <w:ind w:left="-142" w:firstLine="454"/>
        <w:contextualSpacing/>
        <w:jc w:val="center"/>
        <w:rPr>
          <w:b/>
          <w:sz w:val="28"/>
          <w:szCs w:val="28"/>
        </w:rPr>
      </w:pPr>
      <w:r w:rsidRPr="000D4C00">
        <w:rPr>
          <w:b/>
          <w:sz w:val="28"/>
          <w:szCs w:val="28"/>
        </w:rPr>
        <w:t>Налоговые платежи и показатели, необходимые для анализа налоговой нагрузки АО «Роснефть», тыс. руб.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01"/>
        <w:gridCol w:w="1701"/>
      </w:tblGrid>
      <w:tr w:rsidR="00575539" w:rsidRPr="000D4C00" w:rsidTr="00A26165">
        <w:trPr>
          <w:trHeight w:val="26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contextualSpacing/>
              <w:jc w:val="both"/>
              <w:rPr>
                <w:rFonts w:eastAsia="Calibri"/>
              </w:rPr>
            </w:pPr>
            <w:r w:rsidRPr="000D4C00">
              <w:t>Наименование показателя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ind w:left="-142" w:firstLine="454"/>
              <w:contextualSpacing/>
              <w:jc w:val="center"/>
              <w:rPr>
                <w:rFonts w:eastAsia="Calibri"/>
              </w:rPr>
            </w:pPr>
            <w:r w:rsidRPr="000D4C00">
              <w:t>Значения по годам</w:t>
            </w:r>
          </w:p>
        </w:tc>
      </w:tr>
      <w:tr w:rsidR="00575539" w:rsidRPr="000D4C00" w:rsidTr="00A26165">
        <w:trPr>
          <w:trHeight w:val="25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9" w:rsidRPr="000D4C00" w:rsidRDefault="00575539" w:rsidP="00A26165">
            <w:pPr>
              <w:suppressAutoHyphens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ind w:left="-142" w:firstLine="454"/>
              <w:contextualSpacing/>
              <w:jc w:val="center"/>
              <w:rPr>
                <w:rFonts w:eastAsia="Calibri"/>
              </w:rPr>
            </w:pPr>
            <w:r w:rsidRPr="000D4C00"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ind w:left="-142" w:firstLine="454"/>
              <w:contextualSpacing/>
              <w:jc w:val="center"/>
              <w:rPr>
                <w:rFonts w:eastAsia="Calibri"/>
              </w:rPr>
            </w:pPr>
            <w:r w:rsidRPr="000D4C00"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ind w:left="-142" w:firstLine="454"/>
              <w:contextualSpacing/>
              <w:jc w:val="center"/>
              <w:rPr>
                <w:rFonts w:eastAsia="Calibri"/>
              </w:rPr>
            </w:pPr>
            <w:r w:rsidRPr="000D4C00"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ind w:left="-142" w:firstLine="454"/>
              <w:contextualSpacing/>
              <w:jc w:val="center"/>
              <w:rPr>
                <w:rFonts w:eastAsia="Calibri"/>
              </w:rPr>
            </w:pPr>
            <w:r w:rsidRPr="000D4C00">
              <w:t>2019 год</w:t>
            </w:r>
          </w:p>
        </w:tc>
      </w:tr>
      <w:tr w:rsidR="00575539" w:rsidRPr="000D4C00" w:rsidTr="00A26165">
        <w:trPr>
          <w:trHeight w:val="5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contextualSpacing/>
              <w:jc w:val="both"/>
              <w:rPr>
                <w:rFonts w:eastAsia="Calibri"/>
              </w:rPr>
            </w:pPr>
            <w:r w:rsidRPr="000D4C00">
              <w:t>Налог на добавленную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ind w:left="-142" w:firstLine="34"/>
              <w:contextualSpacing/>
              <w:jc w:val="center"/>
              <w:rPr>
                <w:rFonts w:eastAsia="Calibri"/>
              </w:rPr>
            </w:pPr>
            <w:r w:rsidRPr="000D4C00">
              <w:t>637999765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ind w:left="-142" w:firstLine="34"/>
              <w:contextualSpacing/>
              <w:jc w:val="center"/>
              <w:rPr>
                <w:rFonts w:eastAsia="Calibri"/>
              </w:rPr>
            </w:pPr>
            <w:r w:rsidRPr="000D4C00">
              <w:t>773942436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ind w:left="-142" w:firstLine="33"/>
              <w:contextualSpacing/>
              <w:jc w:val="center"/>
              <w:rPr>
                <w:rFonts w:eastAsia="Calibri"/>
              </w:rPr>
            </w:pPr>
            <w:r w:rsidRPr="000D4C00">
              <w:t>689597090,1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ind w:left="-142" w:firstLine="34"/>
              <w:contextualSpacing/>
              <w:jc w:val="center"/>
              <w:rPr>
                <w:rFonts w:eastAsia="Calibri"/>
              </w:rPr>
            </w:pPr>
            <w:r w:rsidRPr="000D4C00">
              <w:t>707425172,3</w:t>
            </w:r>
          </w:p>
        </w:tc>
      </w:tr>
      <w:tr w:rsidR="00575539" w:rsidRPr="000D4C00" w:rsidTr="00A26165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contextualSpacing/>
              <w:jc w:val="both"/>
              <w:rPr>
                <w:rFonts w:eastAsia="Calibri"/>
              </w:rPr>
            </w:pPr>
            <w:r w:rsidRPr="000D4C00"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ind w:left="-142" w:firstLine="34"/>
              <w:contextualSpacing/>
              <w:jc w:val="center"/>
              <w:rPr>
                <w:rFonts w:eastAsia="Calibri"/>
              </w:rPr>
            </w:pPr>
            <w:r w:rsidRPr="000D4C00">
              <w:t>19238707,7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ind w:left="-142" w:firstLine="34"/>
              <w:contextualSpacing/>
              <w:jc w:val="center"/>
              <w:rPr>
                <w:rFonts w:eastAsia="Calibri"/>
              </w:rPr>
            </w:pPr>
            <w:r w:rsidRPr="000D4C00">
              <w:t>22379228,6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ind w:left="-142" w:firstLine="33"/>
              <w:contextualSpacing/>
              <w:jc w:val="center"/>
              <w:rPr>
                <w:rFonts w:eastAsia="Calibri"/>
              </w:rPr>
            </w:pPr>
            <w:r w:rsidRPr="000D4C00">
              <w:t>24831243,6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ind w:left="-142" w:firstLine="34"/>
              <w:contextualSpacing/>
              <w:jc w:val="center"/>
              <w:rPr>
                <w:rFonts w:eastAsia="Calibri"/>
              </w:rPr>
            </w:pPr>
            <w:r w:rsidRPr="000D4C00">
              <w:t>27932443,9</w:t>
            </w:r>
          </w:p>
        </w:tc>
      </w:tr>
      <w:tr w:rsidR="00575539" w:rsidRPr="000D4C00" w:rsidTr="00A26165">
        <w:trPr>
          <w:trHeight w:val="2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contextualSpacing/>
              <w:jc w:val="both"/>
              <w:rPr>
                <w:rFonts w:eastAsia="Calibri"/>
              </w:rPr>
            </w:pPr>
            <w:r w:rsidRPr="000D4C00">
              <w:t>Налог на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ind w:left="-142" w:firstLine="34"/>
              <w:contextualSpacing/>
              <w:jc w:val="center"/>
              <w:rPr>
                <w:rFonts w:eastAsia="Calibri"/>
              </w:rPr>
            </w:pPr>
            <w:r w:rsidRPr="000D4C00">
              <w:t>30955929,2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ind w:left="-142" w:firstLine="34"/>
              <w:contextualSpacing/>
              <w:jc w:val="center"/>
              <w:rPr>
                <w:rFonts w:eastAsia="Calibri"/>
              </w:rPr>
            </w:pPr>
            <w:r w:rsidRPr="000D4C00">
              <w:t>101274638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ind w:left="-142" w:firstLine="33"/>
              <w:contextualSpacing/>
              <w:jc w:val="center"/>
              <w:rPr>
                <w:rFonts w:eastAsia="Calibri"/>
              </w:rPr>
            </w:pPr>
            <w:r w:rsidRPr="000D4C00">
              <w:t>34656957,2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ind w:left="-142" w:firstLine="34"/>
              <w:contextualSpacing/>
              <w:jc w:val="center"/>
              <w:rPr>
                <w:rFonts w:eastAsia="Calibri"/>
              </w:rPr>
            </w:pPr>
            <w:r w:rsidRPr="000D4C00">
              <w:t>16875892,6</w:t>
            </w:r>
          </w:p>
        </w:tc>
      </w:tr>
      <w:tr w:rsidR="00575539" w:rsidRPr="000D4C00" w:rsidTr="00A26165">
        <w:trPr>
          <w:trHeight w:val="2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contextualSpacing/>
              <w:jc w:val="both"/>
              <w:rPr>
                <w:rFonts w:eastAsia="Calibri"/>
              </w:rPr>
            </w:pPr>
            <w:r w:rsidRPr="000D4C00">
              <w:t>Налоговые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ind w:left="-142" w:firstLine="34"/>
              <w:contextualSpacing/>
              <w:jc w:val="center"/>
              <w:rPr>
                <w:rFonts w:eastAsia="Calibri"/>
              </w:rPr>
            </w:pPr>
            <w:r w:rsidRPr="000D4C00">
              <w:t>688194401,9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ind w:left="-142" w:firstLine="34"/>
              <w:contextualSpacing/>
              <w:jc w:val="center"/>
              <w:rPr>
                <w:rFonts w:eastAsia="Calibri"/>
              </w:rPr>
            </w:pPr>
            <w:r w:rsidRPr="000D4C00">
              <w:t>897596302,6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ind w:left="-142" w:firstLine="33"/>
              <w:contextualSpacing/>
              <w:jc w:val="center"/>
              <w:rPr>
                <w:rFonts w:eastAsia="Calibri"/>
              </w:rPr>
            </w:pPr>
            <w:r w:rsidRPr="000D4C00">
              <w:t>749085290,9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9" w:rsidRPr="000D4C00" w:rsidRDefault="00575539" w:rsidP="00A26165">
            <w:pPr>
              <w:suppressAutoHyphens/>
              <w:ind w:left="-142" w:firstLine="34"/>
              <w:contextualSpacing/>
              <w:jc w:val="center"/>
              <w:rPr>
                <w:rFonts w:eastAsia="Calibri"/>
              </w:rPr>
            </w:pPr>
            <w:r w:rsidRPr="000D4C00">
              <w:t>752233508,8</w:t>
            </w:r>
          </w:p>
        </w:tc>
      </w:tr>
    </w:tbl>
    <w:p w:rsidR="00575539" w:rsidRPr="000D4C00" w:rsidRDefault="00575539" w:rsidP="00575539">
      <w:pPr>
        <w:shd w:val="clear" w:color="auto" w:fill="FFFFFF"/>
        <w:suppressAutoHyphens/>
        <w:spacing w:line="288" w:lineRule="auto"/>
        <w:ind w:left="-142" w:firstLine="567"/>
        <w:jc w:val="both"/>
        <w:rPr>
          <w:sz w:val="28"/>
          <w:szCs w:val="28"/>
        </w:rPr>
      </w:pPr>
    </w:p>
    <w:p w:rsidR="00575539" w:rsidRPr="000D4C00" w:rsidRDefault="00575539" w:rsidP="00575539">
      <w:pPr>
        <w:suppressAutoHyphens/>
        <w:spacing w:line="288" w:lineRule="auto"/>
        <w:ind w:left="-142"/>
        <w:jc w:val="center"/>
        <w:rPr>
          <w:sz w:val="28"/>
        </w:rPr>
      </w:pPr>
      <w:r w:rsidRPr="000D4C00">
        <w:rPr>
          <w:noProof/>
        </w:rPr>
        <w:lastRenderedPageBreak/>
        <w:drawing>
          <wp:inline distT="0" distB="0" distL="0" distR="0" wp14:anchorId="0522DDEA" wp14:editId="25A80505">
            <wp:extent cx="5522026" cy="2481942"/>
            <wp:effectExtent l="0" t="0" r="254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5539" w:rsidRPr="000D4C00" w:rsidRDefault="00575539" w:rsidP="00575539">
      <w:pPr>
        <w:suppressAutoHyphens/>
        <w:ind w:firstLine="567"/>
        <w:jc w:val="center"/>
        <w:rPr>
          <w:i/>
          <w:sz w:val="28"/>
        </w:rPr>
      </w:pPr>
      <w:r w:rsidRPr="000D4C00">
        <w:rPr>
          <w:i/>
          <w:sz w:val="28"/>
        </w:rPr>
        <w:t xml:space="preserve">Рис. 1. Зависимость частоты возникновения конфликтов </w:t>
      </w:r>
    </w:p>
    <w:p w:rsidR="00575539" w:rsidRPr="000D4C00" w:rsidRDefault="00575539" w:rsidP="00575539">
      <w:pPr>
        <w:suppressAutoHyphens/>
        <w:ind w:firstLine="567"/>
        <w:jc w:val="center"/>
        <w:rPr>
          <w:i/>
          <w:sz w:val="28"/>
        </w:rPr>
      </w:pPr>
      <w:r w:rsidRPr="000D4C00">
        <w:rPr>
          <w:i/>
          <w:sz w:val="28"/>
        </w:rPr>
        <w:t>подростков и родителей от типов родительского отношения</w:t>
      </w:r>
    </w:p>
    <w:p w:rsidR="00575539" w:rsidRPr="000D4C00" w:rsidRDefault="00575539" w:rsidP="00575539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575539" w:rsidRPr="000D4C00" w:rsidRDefault="00575539" w:rsidP="00575539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0D4C00">
        <w:rPr>
          <w:sz w:val="28"/>
          <w:szCs w:val="28"/>
        </w:rPr>
        <w:t xml:space="preserve">Текст </w:t>
      </w:r>
      <w:proofErr w:type="spellStart"/>
      <w:r w:rsidRPr="000D4C00">
        <w:rPr>
          <w:sz w:val="28"/>
          <w:szCs w:val="28"/>
        </w:rPr>
        <w:t>Текст</w:t>
      </w:r>
      <w:proofErr w:type="spellEnd"/>
      <w:r w:rsidRPr="000D4C00">
        <w:rPr>
          <w:sz w:val="28"/>
          <w:szCs w:val="28"/>
        </w:rPr>
        <w:t xml:space="preserve"> </w:t>
      </w:r>
      <w:proofErr w:type="spellStart"/>
      <w:r w:rsidRPr="000D4C00">
        <w:rPr>
          <w:sz w:val="28"/>
          <w:szCs w:val="28"/>
        </w:rPr>
        <w:t>Текст</w:t>
      </w:r>
      <w:proofErr w:type="spellEnd"/>
      <w:r w:rsidRPr="000D4C00">
        <w:rPr>
          <w:sz w:val="28"/>
          <w:szCs w:val="28"/>
        </w:rPr>
        <w:t xml:space="preserve"> </w:t>
      </w:r>
      <w:proofErr w:type="spellStart"/>
      <w:r w:rsidRPr="000D4C00">
        <w:rPr>
          <w:sz w:val="28"/>
          <w:szCs w:val="28"/>
        </w:rPr>
        <w:t>Текст</w:t>
      </w:r>
      <w:proofErr w:type="spellEnd"/>
      <w:r w:rsidRPr="000D4C00">
        <w:rPr>
          <w:sz w:val="28"/>
          <w:szCs w:val="28"/>
        </w:rPr>
        <w:t xml:space="preserve"> </w:t>
      </w:r>
      <w:proofErr w:type="spellStart"/>
      <w:r w:rsidRPr="000D4C00">
        <w:rPr>
          <w:sz w:val="28"/>
          <w:szCs w:val="28"/>
        </w:rPr>
        <w:t>Текст</w:t>
      </w:r>
      <w:proofErr w:type="spellEnd"/>
      <w:r w:rsidRPr="000D4C00">
        <w:rPr>
          <w:sz w:val="28"/>
          <w:szCs w:val="28"/>
        </w:rPr>
        <w:t xml:space="preserve"> </w:t>
      </w:r>
      <w:proofErr w:type="spellStart"/>
      <w:r w:rsidRPr="000D4C00">
        <w:rPr>
          <w:sz w:val="28"/>
          <w:szCs w:val="28"/>
        </w:rPr>
        <w:t>Текст</w:t>
      </w:r>
      <w:proofErr w:type="spellEnd"/>
      <w:r w:rsidRPr="000D4C00">
        <w:rPr>
          <w:sz w:val="28"/>
          <w:szCs w:val="28"/>
        </w:rPr>
        <w:t xml:space="preserve"> Текст………………………………….</w:t>
      </w:r>
    </w:p>
    <w:p w:rsidR="00575539" w:rsidRPr="000D4C00" w:rsidRDefault="00575539" w:rsidP="00575539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0D4C00">
        <w:rPr>
          <w:sz w:val="28"/>
          <w:szCs w:val="28"/>
        </w:rPr>
        <w:t xml:space="preserve"> </w:t>
      </w:r>
    </w:p>
    <w:p w:rsidR="00575539" w:rsidRPr="000D4C00" w:rsidRDefault="00575539" w:rsidP="00575539">
      <w:pPr>
        <w:pStyle w:val="2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C00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575539" w:rsidRPr="000D4C00" w:rsidRDefault="00575539" w:rsidP="00575539">
      <w:pPr>
        <w:pStyle w:val="2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539" w:rsidRPr="000D4C00" w:rsidRDefault="00575539" w:rsidP="00575539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4C00">
        <w:rPr>
          <w:rFonts w:ascii="Times New Roman" w:hAnsi="Times New Roman" w:cs="Times New Roman"/>
          <w:bCs/>
          <w:sz w:val="28"/>
          <w:szCs w:val="28"/>
        </w:rPr>
        <w:t>Гутнов</w:t>
      </w:r>
      <w:proofErr w:type="spellEnd"/>
      <w:r w:rsidRPr="000D4C00">
        <w:rPr>
          <w:rFonts w:ascii="Times New Roman" w:hAnsi="Times New Roman" w:cs="Times New Roman"/>
          <w:bCs/>
          <w:sz w:val="28"/>
          <w:szCs w:val="28"/>
        </w:rPr>
        <w:t xml:space="preserve"> А. Мир архитектуры. – М.: Молодая гвардия, 1985.</w:t>
      </w:r>
    </w:p>
    <w:p w:rsidR="00575539" w:rsidRPr="000D4C00" w:rsidRDefault="00575539" w:rsidP="00575539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C00">
        <w:rPr>
          <w:rFonts w:ascii="Times New Roman" w:hAnsi="Times New Roman" w:cs="Times New Roman"/>
          <w:bCs/>
          <w:sz w:val="28"/>
          <w:szCs w:val="28"/>
        </w:rPr>
        <w:t xml:space="preserve">Интегрированные коммуникации в новых медиа: монография / под ред. Л.П. </w:t>
      </w:r>
      <w:proofErr w:type="spellStart"/>
      <w:r w:rsidRPr="000D4C00">
        <w:rPr>
          <w:rFonts w:ascii="Times New Roman" w:hAnsi="Times New Roman" w:cs="Times New Roman"/>
          <w:bCs/>
          <w:sz w:val="28"/>
          <w:szCs w:val="28"/>
        </w:rPr>
        <w:t>Шестеркиной</w:t>
      </w:r>
      <w:proofErr w:type="spellEnd"/>
      <w:r w:rsidRPr="000D4C00">
        <w:rPr>
          <w:rFonts w:ascii="Times New Roman" w:hAnsi="Times New Roman" w:cs="Times New Roman"/>
          <w:bCs/>
          <w:sz w:val="28"/>
          <w:szCs w:val="28"/>
        </w:rPr>
        <w:t xml:space="preserve">. – Челябинск: Издательский центр </w:t>
      </w:r>
      <w:proofErr w:type="spellStart"/>
      <w:r w:rsidRPr="000D4C00">
        <w:rPr>
          <w:rFonts w:ascii="Times New Roman" w:hAnsi="Times New Roman" w:cs="Times New Roman"/>
          <w:bCs/>
          <w:sz w:val="28"/>
          <w:szCs w:val="28"/>
        </w:rPr>
        <w:t>ЮУрГУ</w:t>
      </w:r>
      <w:proofErr w:type="spellEnd"/>
      <w:r w:rsidRPr="000D4C00">
        <w:rPr>
          <w:rFonts w:ascii="Times New Roman" w:hAnsi="Times New Roman" w:cs="Times New Roman"/>
          <w:bCs/>
          <w:sz w:val="28"/>
          <w:szCs w:val="28"/>
        </w:rPr>
        <w:t>, 2016. – С.10.</w:t>
      </w:r>
    </w:p>
    <w:p w:rsidR="00575539" w:rsidRPr="000D4C00" w:rsidRDefault="00575539" w:rsidP="00575539">
      <w:pPr>
        <w:pStyle w:val="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5539" w:rsidRPr="000D4C00" w:rsidRDefault="00575539" w:rsidP="00575539">
      <w:pPr>
        <w:pStyle w:val="2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D4C00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References</w:t>
      </w:r>
    </w:p>
    <w:p w:rsidR="00575539" w:rsidRPr="000D4C00" w:rsidRDefault="00575539" w:rsidP="00575539">
      <w:pPr>
        <w:pStyle w:val="2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5539" w:rsidRPr="000D4C00" w:rsidRDefault="00575539" w:rsidP="00575539">
      <w:pPr>
        <w:pStyle w:val="2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>1.</w:t>
      </w:r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proofErr w:type="spellStart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>Gutnov</w:t>
      </w:r>
      <w:proofErr w:type="spellEnd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A. Mir </w:t>
      </w:r>
      <w:proofErr w:type="spellStart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>arhitektury</w:t>
      </w:r>
      <w:proofErr w:type="spellEnd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[World of architecture]. – M.: </w:t>
      </w:r>
      <w:proofErr w:type="spellStart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>Molodaya</w:t>
      </w:r>
      <w:proofErr w:type="spellEnd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>gvardiya</w:t>
      </w:r>
      <w:proofErr w:type="spellEnd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>, 1985.</w:t>
      </w:r>
    </w:p>
    <w:p w:rsidR="00575539" w:rsidRPr="000D4C00" w:rsidRDefault="00575539" w:rsidP="00575539">
      <w:pPr>
        <w:pStyle w:val="2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>2.</w:t>
      </w:r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proofErr w:type="spellStart"/>
      <w:proofErr w:type="gramStart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>Integrirovannye</w:t>
      </w:r>
      <w:proofErr w:type="spellEnd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>kommunikacii</w:t>
      </w:r>
      <w:proofErr w:type="spellEnd"/>
      <w:proofErr w:type="gramEnd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 </w:t>
      </w:r>
      <w:proofErr w:type="spellStart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>novykh</w:t>
      </w:r>
      <w:proofErr w:type="spellEnd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media : </w:t>
      </w:r>
      <w:proofErr w:type="spellStart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>monografiya</w:t>
      </w:r>
      <w:proofErr w:type="spellEnd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[</w:t>
      </w:r>
      <w:proofErr w:type="spellStart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>Integrared</w:t>
      </w:r>
      <w:proofErr w:type="spellEnd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communications in new media] / pod red L.P. </w:t>
      </w:r>
      <w:proofErr w:type="spellStart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>Shesterkinoj</w:t>
      </w:r>
      <w:proofErr w:type="spellEnd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– Chelyabinsk: </w:t>
      </w:r>
      <w:proofErr w:type="spellStart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>Izdatel'skij</w:t>
      </w:r>
      <w:proofErr w:type="spellEnd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>centr</w:t>
      </w:r>
      <w:proofErr w:type="spellEnd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>YUUrGU</w:t>
      </w:r>
      <w:proofErr w:type="spellEnd"/>
      <w:r w:rsidRPr="000D4C00">
        <w:rPr>
          <w:rFonts w:ascii="Times New Roman" w:hAnsi="Times New Roman" w:cs="Times New Roman"/>
          <w:bCs/>
          <w:sz w:val="28"/>
          <w:szCs w:val="28"/>
          <w:lang w:val="en-US"/>
        </w:rPr>
        <w:t>, 2016. – S.10.</w:t>
      </w:r>
    </w:p>
    <w:p w:rsidR="00FA2CEF" w:rsidRPr="00575539" w:rsidRDefault="00FA2CEF">
      <w:pPr>
        <w:rPr>
          <w:lang w:val="en-US"/>
        </w:rPr>
      </w:pPr>
    </w:p>
    <w:sectPr w:rsidR="00FA2CEF" w:rsidRPr="00575539" w:rsidSect="003A4829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A45EB"/>
    <w:multiLevelType w:val="hybridMultilevel"/>
    <w:tmpl w:val="FC7CA5E2"/>
    <w:lvl w:ilvl="0" w:tplc="496E6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39"/>
    <w:rsid w:val="003A4829"/>
    <w:rsid w:val="00575539"/>
    <w:rsid w:val="00F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FA052-51A9-4590-8AD1-17BDBD9F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55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575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basedOn w:val="a0"/>
    <w:link w:val="a3"/>
    <w:uiPriority w:val="34"/>
    <w:locked/>
    <w:rsid w:val="00575539"/>
  </w:style>
  <w:style w:type="paragraph" w:customStyle="1" w:styleId="2">
    <w:name w:val="Без интервала2"/>
    <w:rsid w:val="0057553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161162690483846E-2"/>
          <c:y val="4.23891230586965E-2"/>
          <c:w val="0.91751600701653557"/>
          <c:h val="0.71660313187565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1.1716303661665829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1,3%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E08-4F1D-B4EA-275E0154CB8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15,8%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E08-4F1D-B4EA-275E0154CB8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62,4%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E08-4F1D-B4EA-275E0154CB8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71,2%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E08-4F1D-B4EA-275E0154CB8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60,7%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E08-4F1D-B4EA-275E0154CB8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Кооперация</c:v>
                </c:pt>
                <c:pt idx="1">
                  <c:v>Симбиоз</c:v>
                </c:pt>
                <c:pt idx="2">
                  <c:v>Принятие- отвержение</c:v>
                </c:pt>
                <c:pt idx="3">
                  <c:v>Авторитарная гипер- социализация</c:v>
                </c:pt>
                <c:pt idx="4">
                  <c:v>Маленький неудачник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1.3</c:v>
                </c:pt>
                <c:pt idx="1">
                  <c:v>15.8</c:v>
                </c:pt>
                <c:pt idx="2">
                  <c:v>62.4</c:v>
                </c:pt>
                <c:pt idx="3">
                  <c:v>71.2</c:v>
                </c:pt>
                <c:pt idx="4">
                  <c:v>60.7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E08-4F1D-B4EA-275E0154C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319298752"/>
        <c:axId val="319299144"/>
      </c:barChart>
      <c:dateAx>
        <c:axId val="319298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sz="1100"/>
            </a:pPr>
            <a:endParaRPr lang="ru-RU"/>
          </a:p>
        </c:txPr>
        <c:crossAx val="319299144"/>
        <c:crosses val="autoZero"/>
        <c:auto val="0"/>
        <c:lblOffset val="100"/>
        <c:baseTimeUnit val="days"/>
      </c:dateAx>
      <c:valAx>
        <c:axId val="319299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3192987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K.</dc:creator>
  <cp:keywords/>
  <dc:description/>
  <cp:lastModifiedBy>Olga K.</cp:lastModifiedBy>
  <cp:revision>1</cp:revision>
  <dcterms:created xsi:type="dcterms:W3CDTF">2022-01-21T09:41:00Z</dcterms:created>
  <dcterms:modified xsi:type="dcterms:W3CDTF">2022-01-21T09:42:00Z</dcterms:modified>
</cp:coreProperties>
</file>