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6C" w:rsidRPr="00C747C9" w:rsidRDefault="006872E0">
      <w:pPr>
        <w:spacing w:after="87" w:line="259" w:lineRule="auto"/>
        <w:ind w:firstLine="0"/>
        <w:jc w:val="left"/>
        <w:rPr>
          <w:rFonts w:ascii="Times New Roman" w:hAnsi="Times New Roman" w:cs="Times New Roman"/>
          <w:szCs w:val="20"/>
        </w:rPr>
      </w:pPr>
      <w:r w:rsidRPr="00C747C9">
        <w:rPr>
          <w:rFonts w:ascii="Times New Roman" w:hAnsi="Times New Roman" w:cs="Times New Roman"/>
          <w:noProof/>
          <w:szCs w:val="20"/>
        </w:rPr>
        <mc:AlternateContent>
          <mc:Choice Requires="wpg">
            <w:drawing>
              <wp:inline distT="0" distB="0" distL="0" distR="0">
                <wp:extent cx="3960000" cy="5055"/>
                <wp:effectExtent l="0" t="0" r="0" b="0"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5055"/>
                          <a:chOff x="0" y="0"/>
                          <a:chExt cx="3960000" cy="505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9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0">
                                <a:moveTo>
                                  <a:pt x="0" y="0"/>
                                </a:moveTo>
                                <a:lnTo>
                                  <a:pt x="39600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6" style="width:311.811pt;height:0.398pt;mso-position-horizontal-relative:char;mso-position-vertical-relative:line" coordsize="39600,50">
                <v:shape id="Shape 7" style="position:absolute;width:39600;height:0;left:0;top:0;" coordsize="3960000,0" path="m0,0l3960000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9296C" w:rsidRPr="00C747C9" w:rsidRDefault="006872E0">
      <w:pPr>
        <w:pStyle w:val="Heading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747C9">
        <w:rPr>
          <w:rFonts w:ascii="Times New Roman" w:hAnsi="Times New Roman" w:cs="Times New Roman"/>
          <w:b/>
          <w:sz w:val="20"/>
          <w:szCs w:val="20"/>
          <w:lang w:val="ru-RU"/>
        </w:rPr>
        <w:t>Название работы</w:t>
      </w:r>
    </w:p>
    <w:p w:rsidR="00B9296C" w:rsidRPr="00C747C9" w:rsidRDefault="006872E0">
      <w:pPr>
        <w:spacing w:line="259" w:lineRule="auto"/>
        <w:ind w:right="10" w:firstLine="0"/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C747C9">
        <w:rPr>
          <w:rFonts w:ascii="Times New Roman" w:hAnsi="Times New Roman" w:cs="Times New Roman"/>
          <w:b/>
          <w:i/>
          <w:szCs w:val="20"/>
          <w:lang w:val="ru-RU"/>
        </w:rPr>
        <w:t>Иванов Иван Иванович</w:t>
      </w:r>
      <w:r w:rsidRPr="00C747C9">
        <w:rPr>
          <w:rFonts w:ascii="Times New Roman" w:eastAsia="Cambria" w:hAnsi="Times New Roman" w:cs="Times New Roman"/>
          <w:b/>
          <w:szCs w:val="20"/>
          <w:vertAlign w:val="superscript"/>
          <w:lang w:val="ru-RU"/>
        </w:rPr>
        <w:t>1</w:t>
      </w:r>
      <w:r w:rsidRPr="00C747C9">
        <w:rPr>
          <w:rFonts w:ascii="Times New Roman" w:hAnsi="Times New Roman" w:cs="Times New Roman"/>
          <w:b/>
          <w:i/>
          <w:szCs w:val="20"/>
          <w:lang w:val="ru-RU"/>
        </w:rPr>
        <w:t>, Петров Петр Петрович</w:t>
      </w:r>
      <w:r w:rsidRPr="00C747C9">
        <w:rPr>
          <w:rFonts w:ascii="Times New Roman" w:eastAsia="Cambria" w:hAnsi="Times New Roman" w:cs="Times New Roman"/>
          <w:b/>
          <w:szCs w:val="20"/>
          <w:vertAlign w:val="superscript"/>
          <w:lang w:val="ru-RU"/>
        </w:rPr>
        <w:t>2</w:t>
      </w:r>
    </w:p>
    <w:p w:rsidR="00B9296C" w:rsidRPr="00C747C9" w:rsidRDefault="006872E0">
      <w:pPr>
        <w:spacing w:after="34" w:line="259" w:lineRule="auto"/>
        <w:ind w:left="10" w:right="13" w:hanging="10"/>
        <w:jc w:val="center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i/>
          <w:szCs w:val="20"/>
          <w:lang w:val="ru-RU"/>
        </w:rPr>
        <w:t>Студенты</w:t>
      </w:r>
    </w:p>
    <w:p w:rsidR="00B9296C" w:rsidRPr="00C747C9" w:rsidRDefault="006872E0" w:rsidP="003B49F1">
      <w:pPr>
        <w:spacing w:after="61" w:line="259" w:lineRule="auto"/>
        <w:ind w:left="126" w:firstLine="0"/>
        <w:jc w:val="left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eastAsia="Cambria" w:hAnsi="Times New Roman" w:cs="Times New Roman"/>
          <w:szCs w:val="20"/>
          <w:vertAlign w:val="superscript"/>
          <w:lang w:val="ru-RU"/>
        </w:rPr>
        <w:t>1</w:t>
      </w:r>
      <w:r w:rsidRPr="00C747C9">
        <w:rPr>
          <w:rFonts w:ascii="Times New Roman" w:hAnsi="Times New Roman" w:cs="Times New Roman"/>
          <w:i/>
          <w:szCs w:val="20"/>
          <w:lang w:val="ru-RU"/>
        </w:rPr>
        <w:t xml:space="preserve">Национальный исследовательский ядерный университет «МИФИ», </w:t>
      </w:r>
      <w:r w:rsidRPr="00C747C9">
        <w:rPr>
          <w:rFonts w:ascii="Times New Roman" w:eastAsia="Cambria" w:hAnsi="Times New Roman" w:cs="Times New Roman"/>
          <w:szCs w:val="20"/>
          <w:vertAlign w:val="superscript"/>
          <w:lang w:val="ru-RU"/>
        </w:rPr>
        <w:t>2</w:t>
      </w:r>
      <w:r w:rsidRPr="00C747C9">
        <w:rPr>
          <w:rFonts w:ascii="Times New Roman" w:hAnsi="Times New Roman" w:cs="Times New Roman"/>
          <w:i/>
          <w:szCs w:val="20"/>
          <w:lang w:val="ru-RU"/>
        </w:rPr>
        <w:t>МГУ</w:t>
      </w:r>
      <w:r w:rsidR="003B49F1" w:rsidRPr="00C747C9">
        <w:rPr>
          <w:rFonts w:ascii="Times New Roman" w:hAnsi="Times New Roman" w:cs="Times New Roman"/>
          <w:szCs w:val="20"/>
          <w:lang w:val="ru-RU"/>
        </w:rPr>
        <w:t xml:space="preserve"> </w:t>
      </w:r>
      <w:r w:rsidRPr="00C747C9">
        <w:rPr>
          <w:rFonts w:ascii="Times New Roman" w:hAnsi="Times New Roman" w:cs="Times New Roman"/>
          <w:i/>
          <w:szCs w:val="20"/>
          <w:lang w:val="ru-RU"/>
        </w:rPr>
        <w:t xml:space="preserve">имени </w:t>
      </w:r>
      <w:proofErr w:type="spellStart"/>
      <w:proofErr w:type="gramStart"/>
      <w:r w:rsidRPr="00C747C9">
        <w:rPr>
          <w:rFonts w:ascii="Times New Roman" w:hAnsi="Times New Roman" w:cs="Times New Roman"/>
          <w:i/>
          <w:szCs w:val="20"/>
          <w:lang w:val="ru-RU"/>
        </w:rPr>
        <w:t>М.,В.</w:t>
      </w:r>
      <w:proofErr w:type="gramEnd"/>
      <w:r w:rsidRPr="00C747C9">
        <w:rPr>
          <w:rFonts w:ascii="Times New Roman" w:hAnsi="Times New Roman" w:cs="Times New Roman"/>
          <w:i/>
          <w:szCs w:val="20"/>
          <w:lang w:val="ru-RU"/>
        </w:rPr>
        <w:t>,Ломоносова</w:t>
      </w:r>
      <w:proofErr w:type="spellEnd"/>
      <w:r w:rsidRPr="00C747C9">
        <w:rPr>
          <w:rFonts w:ascii="Times New Roman" w:hAnsi="Times New Roman" w:cs="Times New Roman"/>
          <w:i/>
          <w:szCs w:val="20"/>
          <w:lang w:val="ru-RU"/>
        </w:rPr>
        <w:t>, Москва, Россия</w:t>
      </w:r>
    </w:p>
    <w:p w:rsidR="00B9296C" w:rsidRPr="00C747C9" w:rsidRDefault="006872E0">
      <w:pPr>
        <w:spacing w:after="143" w:line="259" w:lineRule="auto"/>
        <w:ind w:firstLine="0"/>
        <w:jc w:val="center"/>
        <w:rPr>
          <w:rFonts w:ascii="Times New Roman" w:hAnsi="Times New Roman" w:cs="Times New Roman"/>
          <w:szCs w:val="20"/>
        </w:rPr>
      </w:pPr>
      <w:r w:rsidRPr="00C747C9">
        <w:rPr>
          <w:rFonts w:ascii="Times New Roman" w:hAnsi="Times New Roman" w:cs="Times New Roman"/>
          <w:i/>
          <w:szCs w:val="20"/>
        </w:rPr>
        <w:t xml:space="preserve">E-mail: </w:t>
      </w:r>
      <w:r w:rsidRPr="00C747C9">
        <w:rPr>
          <w:rFonts w:ascii="Times New Roman" w:hAnsi="Times New Roman" w:cs="Times New Roman"/>
          <w:b/>
          <w:szCs w:val="20"/>
        </w:rPr>
        <w:t>ivanov@mephi.ru, petrov@mephi.ru</w:t>
      </w:r>
    </w:p>
    <w:p w:rsidR="00B9296C" w:rsidRPr="00C747C9" w:rsidRDefault="006872E0">
      <w:pPr>
        <w:spacing w:after="0" w:line="265" w:lineRule="auto"/>
        <w:ind w:left="10" w:hanging="10"/>
        <w:jc w:val="center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b/>
          <w:i/>
          <w:szCs w:val="20"/>
          <w:lang w:val="ru-RU"/>
        </w:rPr>
        <w:t>Научный руководитель</w:t>
      </w:r>
      <w:r w:rsidRPr="00C747C9">
        <w:rPr>
          <w:rFonts w:ascii="Times New Roman" w:hAnsi="Times New Roman" w:cs="Times New Roman"/>
          <w:i/>
          <w:szCs w:val="20"/>
          <w:lang w:val="ru-RU"/>
        </w:rPr>
        <w:t xml:space="preserve"> — профессор, д-р физ.-мат. наук</w:t>
      </w:r>
    </w:p>
    <w:p w:rsidR="00B9296C" w:rsidRPr="00C747C9" w:rsidRDefault="006872E0" w:rsidP="003B49F1">
      <w:pPr>
        <w:spacing w:after="414" w:line="264" w:lineRule="auto"/>
        <w:ind w:left="14" w:right="14" w:hanging="14"/>
        <w:jc w:val="center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i/>
          <w:szCs w:val="20"/>
          <w:lang w:val="ru-RU"/>
        </w:rPr>
        <w:t>Сидоров Сергей Павлович</w:t>
      </w:r>
    </w:p>
    <w:p w:rsidR="00B9296C" w:rsidRPr="00C747C9" w:rsidRDefault="006872E0" w:rsidP="003B49F1">
      <w:pPr>
        <w:spacing w:after="280" w:line="259" w:lineRule="auto"/>
        <w:ind w:firstLine="0"/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C747C9">
        <w:rPr>
          <w:rFonts w:ascii="Times New Roman" w:hAnsi="Times New Roman" w:cs="Times New Roman"/>
          <w:b/>
          <w:szCs w:val="20"/>
          <w:lang w:val="ru-RU"/>
        </w:rPr>
        <w:t>Аннотация</w:t>
      </w:r>
    </w:p>
    <w:p w:rsidR="00B9296C" w:rsidRPr="00C747C9" w:rsidRDefault="006872E0">
      <w:pPr>
        <w:spacing w:after="679" w:line="240" w:lineRule="auto"/>
        <w:ind w:left="567" w:right="567" w:firstLine="0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>Необходимо привести краткую аннотацию. Здесь сжато излагаются цели и задачи исследования, существенные факты работы и ее результаты</w:t>
      </w:r>
    </w:p>
    <w:p w:rsidR="00B9296C" w:rsidRPr="00C747C9" w:rsidRDefault="006872E0">
      <w:pPr>
        <w:spacing w:after="125"/>
        <w:ind w:left="-15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>Далее необходимо привести тезисы работы. Объем тезисов не превышает двух страниц А5. Все математические формулы, изображения, таблицы должны быть пронумерованы.</w:t>
      </w:r>
    </w:p>
    <w:p w:rsidR="00B9296C" w:rsidRPr="00C747C9" w:rsidRDefault="006872E0" w:rsidP="003B49F1">
      <w:pPr>
        <w:ind w:left="-15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 xml:space="preserve">Для формул следует использовать </w:t>
      </w:r>
      <w:r w:rsidR="003B49F1" w:rsidRPr="00C747C9">
        <w:rPr>
          <w:rFonts w:ascii="Times New Roman" w:hAnsi="Times New Roman" w:cs="Times New Roman"/>
          <w:szCs w:val="20"/>
          <w:lang w:val="ru-RU"/>
        </w:rPr>
        <w:t xml:space="preserve">исключительно средства </w:t>
      </w:r>
      <w:r w:rsidR="003B49F1" w:rsidRPr="00C747C9">
        <w:rPr>
          <w:rFonts w:ascii="Times New Roman" w:hAnsi="Times New Roman" w:cs="Times New Roman"/>
          <w:szCs w:val="20"/>
        </w:rPr>
        <w:t>MS</w:t>
      </w:r>
      <w:r w:rsidR="003B49F1" w:rsidRPr="00C747C9">
        <w:rPr>
          <w:rFonts w:ascii="Times New Roman" w:hAnsi="Times New Roman" w:cs="Times New Roman"/>
          <w:szCs w:val="20"/>
          <w:lang w:val="ru-RU"/>
        </w:rPr>
        <w:t xml:space="preserve"> </w:t>
      </w:r>
      <w:r w:rsidR="003B49F1" w:rsidRPr="00C747C9">
        <w:rPr>
          <w:rFonts w:ascii="Times New Roman" w:hAnsi="Times New Roman" w:cs="Times New Roman"/>
          <w:szCs w:val="20"/>
        </w:rPr>
        <w:t>Word</w:t>
      </w:r>
      <w:r w:rsidR="003B49F1" w:rsidRPr="00C747C9">
        <w:rPr>
          <w:rFonts w:ascii="Times New Roman" w:hAnsi="Times New Roman" w:cs="Times New Roman"/>
          <w:szCs w:val="20"/>
          <w:lang w:val="ru-RU"/>
        </w:rPr>
        <w:t xml:space="preserve"> по работе с формулами. Изображения не допускаются</w:t>
      </w:r>
      <w:r w:rsidR="00995924" w:rsidRPr="00C747C9">
        <w:rPr>
          <w:rFonts w:ascii="Times New Roman" w:hAnsi="Times New Roman" w:cs="Times New Roman"/>
          <w:szCs w:val="20"/>
        </w:rPr>
        <w:t>.</w:t>
      </w:r>
    </w:p>
    <w:p w:rsidR="00995924" w:rsidRPr="00C747C9" w:rsidRDefault="006872E0">
      <w:pPr>
        <w:tabs>
          <w:tab w:val="center" w:pos="3135"/>
          <w:tab w:val="right" w:pos="6236"/>
        </w:tabs>
        <w:spacing w:after="270" w:line="259" w:lineRule="auto"/>
        <w:ind w:firstLine="0"/>
        <w:jc w:val="left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ab/>
      </w:r>
      <w:r w:rsidR="00995924" w:rsidRPr="00C747C9">
        <w:rPr>
          <w:rFonts w:ascii="Times New Roman" w:hAnsi="Times New Roman" w:cs="Times New Roman"/>
          <w:szCs w:val="20"/>
          <w:lang w:val="ru-RU"/>
        </w:rPr>
        <w:br/>
      </w: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Cs w:val="20"/>
                  <w:lang w:val="ru-RU"/>
                </w:rPr>
              </m:ctrlPr>
            </m:eqArrPr>
            <m:e>
              <m:r>
                <w:rPr>
                  <w:rFonts w:ascii="Cambria Math" w:hAnsi="Cambria Math" w:cs="Times New Roman"/>
                  <w:szCs w:val="20"/>
                  <w:lang w:val="ru-RU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szCs w:val="20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0"/>
                      <w:lang w:val="ru-RU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Cs w:val="20"/>
                      <w:lang w:val="ru-RU"/>
                    </w:rPr>
                  </m:ctrlPr>
                </m:e>
              </m:d>
              <m:r>
                <w:rPr>
                  <w:rFonts w:ascii="Cambria Math" w:hAnsi="Cambria Math" w:cs="Times New Roman"/>
                  <w:szCs w:val="20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lang w:val="ru-RU"/>
                </w:rPr>
                <m:t>+ </m:t>
              </m:r>
              <m:nary>
                <m:naryPr>
                  <m:chr m:val="∑"/>
                  <m:ctrlPr>
                    <w:rPr>
                      <w:rFonts w:ascii="Cambria Math" w:hAnsi="Cambria Math" w:cs="Times New Roman"/>
                      <w:szCs w:val="20"/>
                      <w:lang w:val="ru-RU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0"/>
                      <w:lang w:val="ru-RU"/>
                    </w:rPr>
                    <m:t>n=1</m:t>
                  </m:r>
                  <m:ctrlPr>
                    <w:rPr>
                      <w:rFonts w:ascii="Cambria Math" w:hAnsi="Cambria Math" w:cs="Times New Roman"/>
                      <w:i/>
                      <w:szCs w:val="20"/>
                      <w:lang w:val="ru-RU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  <w:lang w:val="ru-RU"/>
                    </w:rPr>
                    <m:t>∞</m:t>
                  </m:r>
                  <m:ctrlPr>
                    <w:rPr>
                      <w:rFonts w:ascii="Cambria Math" w:hAnsi="Cambria Math" w:cs="Times New Roman"/>
                      <w:i/>
                      <w:szCs w:val="20"/>
                      <w:lang w:val="ru-RU"/>
                    </w:rPr>
                  </m:ctrlP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ru-RU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  <w:lang w:val="ru-RU"/>
                        </w:rPr>
                        <m:t>cos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Cs w:val="20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0"/>
                              <w:lang w:val="ru-RU"/>
                            </w:rPr>
                            <m:t>πnx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ru-RU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0"/>
                              <w:lang w:val="ru-RU"/>
                            </w:rPr>
                            <m:t>l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ru-RU"/>
                            </w:rPr>
                          </m:ctrlPr>
                        </m:den>
                      </m:f>
                    </m:e>
                  </m:d>
                </m:e>
              </m:nary>
              <m:r>
                <w:rPr>
                  <w:rFonts w:ascii="Cambria Math" w:hAnsi="Cambria Math" w:cs="Times New Roman"/>
                  <w:szCs w:val="20"/>
                  <w:lang w:val="ru-RU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0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0"/>
                      <w:lang w:val="ru-RU"/>
                    </w:rPr>
                    <m:t>1</m:t>
                  </m:r>
                </m:e>
              </m:d>
            </m:e>
          </m:eqArr>
        </m:oMath>
      </m:oMathPara>
    </w:p>
    <w:p w:rsidR="00B9296C" w:rsidRPr="00C747C9" w:rsidRDefault="00995924">
      <w:pPr>
        <w:spacing w:after="126"/>
        <w:ind w:left="-15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 xml:space="preserve">Ссылаться на формулы следует по следующему примеру: «… подставив в </w:t>
      </w:r>
      <w:r w:rsidR="006872E0" w:rsidRPr="00C747C9">
        <w:rPr>
          <w:rFonts w:ascii="Times New Roman" w:hAnsi="Times New Roman" w:cs="Times New Roman"/>
          <w:szCs w:val="20"/>
          <w:lang w:val="ru-RU"/>
        </w:rPr>
        <w:t>(1)</w:t>
      </w:r>
      <w:r w:rsidRPr="00C747C9">
        <w:rPr>
          <w:rFonts w:ascii="Times New Roman" w:hAnsi="Times New Roman" w:cs="Times New Roman"/>
          <w:szCs w:val="20"/>
          <w:lang w:val="ru-RU"/>
        </w:rPr>
        <w:t xml:space="preserve"> значения интерполяции, получим (2)»</w:t>
      </w:r>
      <w:r w:rsidR="006872E0" w:rsidRPr="00C747C9">
        <w:rPr>
          <w:rFonts w:ascii="Times New Roman" w:hAnsi="Times New Roman" w:cs="Times New Roman"/>
          <w:szCs w:val="20"/>
          <w:lang w:val="ru-RU"/>
        </w:rPr>
        <w:t>.</w:t>
      </w:r>
    </w:p>
    <w:p w:rsidR="00B9296C" w:rsidRPr="00C747C9" w:rsidRDefault="006872E0">
      <w:pPr>
        <w:ind w:left="-15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 xml:space="preserve">Иллюстрации располагаются по центру, требуют подпись и масштабный </w:t>
      </w:r>
      <w:r w:rsidR="00995924" w:rsidRPr="00C747C9">
        <w:rPr>
          <w:rFonts w:ascii="Times New Roman" w:hAnsi="Times New Roman" w:cs="Times New Roman"/>
          <w:szCs w:val="20"/>
          <w:lang w:val="ru-RU"/>
        </w:rPr>
        <w:t>коэффициент</w:t>
      </w:r>
      <w:r w:rsidRPr="00C747C9">
        <w:rPr>
          <w:rFonts w:ascii="Times New Roman" w:hAnsi="Times New Roman" w:cs="Times New Roman"/>
          <w:szCs w:val="20"/>
          <w:lang w:val="ru-RU"/>
        </w:rPr>
        <w:t>.</w:t>
      </w:r>
    </w:p>
    <w:p w:rsidR="00B9296C" w:rsidRPr="00C747C9" w:rsidRDefault="006872E0">
      <w:pPr>
        <w:spacing w:after="300" w:line="259" w:lineRule="auto"/>
        <w:ind w:firstLine="0"/>
        <w:jc w:val="left"/>
        <w:rPr>
          <w:rFonts w:ascii="Times New Roman" w:hAnsi="Times New Roman" w:cs="Times New Roman"/>
          <w:szCs w:val="20"/>
        </w:rPr>
      </w:pPr>
      <w:r w:rsidRPr="00C747C9">
        <w:rPr>
          <w:rFonts w:ascii="Times New Roman" w:hAnsi="Times New Roman" w:cs="Times New Roman"/>
          <w:noProof/>
          <w:szCs w:val="20"/>
        </w:rPr>
        <w:lastRenderedPageBreak/>
        <mc:AlternateContent>
          <mc:Choice Requires="wpg">
            <w:drawing>
              <wp:inline distT="0" distB="0" distL="0" distR="0">
                <wp:extent cx="3960000" cy="1891475"/>
                <wp:effectExtent l="0" t="0" r="0" b="0"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1891475"/>
                          <a:chOff x="0" y="0"/>
                          <a:chExt cx="3960000" cy="189147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9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0">
                                <a:moveTo>
                                  <a:pt x="0" y="0"/>
                                </a:moveTo>
                                <a:lnTo>
                                  <a:pt x="39600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1985" y="69502"/>
                            <a:ext cx="2375977" cy="18219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0" style="width:311.811pt;height:148.935pt;mso-position-horizontal-relative:char;mso-position-vertical-relative:line" coordsize="39600,18914">
                <v:shape id="Shape 82" style="position:absolute;width:39600;height:0;left:0;top:0;" coordsize="3960000,0" path="m0,0l3960000,0">
                  <v:stroke weight="0.398pt" endcap="flat" joinstyle="miter" miterlimit="10" on="true" color="#000000"/>
                  <v:fill on="false" color="#000000" opacity="0"/>
                </v:shape>
                <v:shape id="Picture 84" style="position:absolute;width:23759;height:18219;left:7919;top:695;" filled="f">
                  <v:imagedata r:id="rId9"/>
                </v:shape>
              </v:group>
            </w:pict>
          </mc:Fallback>
        </mc:AlternateContent>
      </w:r>
    </w:p>
    <w:p w:rsidR="00B9296C" w:rsidRPr="00C747C9" w:rsidRDefault="006872E0" w:rsidP="00995924">
      <w:pPr>
        <w:spacing w:after="285" w:line="247" w:lineRule="auto"/>
        <w:ind w:left="-14" w:firstLine="0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 xml:space="preserve">Рис. 1: Поверхностный потенциал НЧ </w:t>
      </w:r>
      <w:proofErr w:type="spellStart"/>
      <w:r w:rsidRPr="00C747C9">
        <w:rPr>
          <w:rFonts w:ascii="Times New Roman" w:hAnsi="Times New Roman" w:cs="Times New Roman"/>
          <w:szCs w:val="20"/>
        </w:rPr>
        <w:t>FeAu</w:t>
      </w:r>
      <w:proofErr w:type="spellEnd"/>
      <w:r w:rsidRPr="00C747C9">
        <w:rPr>
          <w:rFonts w:ascii="Times New Roman" w:hAnsi="Times New Roman" w:cs="Times New Roman"/>
          <w:szCs w:val="20"/>
          <w:lang w:val="ru-RU"/>
        </w:rPr>
        <w:t xml:space="preserve"> до и после покрытия </w:t>
      </w:r>
      <w:proofErr w:type="spellStart"/>
      <w:r w:rsidRPr="00C747C9">
        <w:rPr>
          <w:rFonts w:ascii="Times New Roman" w:hAnsi="Times New Roman" w:cs="Times New Roman"/>
          <w:szCs w:val="20"/>
          <w:lang w:val="ru-RU"/>
        </w:rPr>
        <w:t>карбоксиметилдекстраном</w:t>
      </w:r>
      <w:proofErr w:type="spellEnd"/>
      <w:r w:rsidRPr="00C747C9">
        <w:rPr>
          <w:rFonts w:ascii="Times New Roman" w:hAnsi="Times New Roman" w:cs="Times New Roman"/>
          <w:szCs w:val="20"/>
          <w:lang w:val="ru-RU"/>
        </w:rPr>
        <w:t>.</w:t>
      </w:r>
    </w:p>
    <w:p w:rsidR="00B9296C" w:rsidRPr="00C747C9" w:rsidRDefault="006872E0">
      <w:pPr>
        <w:spacing w:after="3" w:line="259" w:lineRule="auto"/>
        <w:ind w:left="10" w:hanging="10"/>
        <w:jc w:val="center"/>
        <w:rPr>
          <w:rFonts w:ascii="Times New Roman" w:hAnsi="Times New Roman" w:cs="Times New Roman"/>
          <w:szCs w:val="20"/>
        </w:rPr>
      </w:pPr>
      <w:proofErr w:type="spellStart"/>
      <w:r w:rsidRPr="00C747C9">
        <w:rPr>
          <w:rFonts w:ascii="Times New Roman" w:hAnsi="Times New Roman" w:cs="Times New Roman"/>
          <w:szCs w:val="20"/>
        </w:rPr>
        <w:t>Таблица</w:t>
      </w:r>
      <w:proofErr w:type="spellEnd"/>
      <w:r w:rsidRPr="00C747C9">
        <w:rPr>
          <w:rFonts w:ascii="Times New Roman" w:hAnsi="Times New Roman" w:cs="Times New Roman"/>
          <w:szCs w:val="20"/>
        </w:rPr>
        <w:t xml:space="preserve"> 1: </w:t>
      </w:r>
      <w:proofErr w:type="spellStart"/>
      <w:r w:rsidRPr="00C747C9">
        <w:rPr>
          <w:rFonts w:ascii="Times New Roman" w:hAnsi="Times New Roman" w:cs="Times New Roman"/>
          <w:szCs w:val="20"/>
        </w:rPr>
        <w:t>Пример</w:t>
      </w:r>
      <w:proofErr w:type="spellEnd"/>
      <w:r w:rsidRPr="00C747C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747C9">
        <w:rPr>
          <w:rFonts w:ascii="Times New Roman" w:hAnsi="Times New Roman" w:cs="Times New Roman"/>
          <w:szCs w:val="20"/>
        </w:rPr>
        <w:t>таблицы</w:t>
      </w:r>
      <w:proofErr w:type="spellEnd"/>
    </w:p>
    <w:tbl>
      <w:tblPr>
        <w:tblStyle w:val="TableGrid"/>
        <w:tblW w:w="3473" w:type="dxa"/>
        <w:tblInd w:w="1348" w:type="dxa"/>
        <w:tblCellMar>
          <w:top w:w="33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1158"/>
        <w:gridCol w:w="1158"/>
      </w:tblGrid>
      <w:tr w:rsidR="00B9296C" w:rsidRPr="00C747C9">
        <w:trPr>
          <w:trHeight w:val="247"/>
        </w:trPr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Столбец</w:t>
            </w:r>
            <w:proofErr w:type="spellEnd"/>
            <w:r w:rsidRPr="00C747C9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Столбец</w:t>
            </w:r>
            <w:proofErr w:type="spellEnd"/>
            <w:r w:rsidRPr="00C747C9">
              <w:rPr>
                <w:rFonts w:ascii="Times New Roman" w:hAnsi="Times New Roman" w:cs="Times New Roman"/>
                <w:szCs w:val="20"/>
              </w:rPr>
              <w:t xml:space="preserve"> 2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Столбец</w:t>
            </w:r>
            <w:proofErr w:type="spellEnd"/>
            <w:r w:rsidRPr="00C747C9">
              <w:rPr>
                <w:rFonts w:ascii="Times New Roman" w:hAnsi="Times New Roman" w:cs="Times New Roman"/>
                <w:szCs w:val="20"/>
              </w:rPr>
              <w:t xml:space="preserve"> 3</w:t>
            </w:r>
          </w:p>
        </w:tc>
      </w:tr>
      <w:tr w:rsidR="00B9296C" w:rsidRPr="00C747C9">
        <w:trPr>
          <w:trHeight w:val="247"/>
        </w:trPr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</w:tr>
      <w:tr w:rsidR="00B9296C" w:rsidRPr="00C747C9">
        <w:trPr>
          <w:trHeight w:val="247"/>
        </w:trPr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296C" w:rsidRPr="00C747C9" w:rsidRDefault="006872E0">
            <w:pPr>
              <w:spacing w:after="0" w:line="259" w:lineRule="auto"/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747C9"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spellEnd"/>
          </w:p>
        </w:tc>
      </w:tr>
    </w:tbl>
    <w:p w:rsidR="00B9296C" w:rsidRPr="00C747C9" w:rsidRDefault="006872E0">
      <w:pPr>
        <w:ind w:left="-15"/>
        <w:rPr>
          <w:rFonts w:ascii="Times New Roman" w:hAnsi="Times New Roman" w:cs="Times New Roman"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>Ссылка на рисунок 1 или на таблицу 1 оформляется без скобок, метка рисунка соответствует имени файла.</w:t>
      </w:r>
    </w:p>
    <w:p w:rsidR="00B9296C" w:rsidRPr="00C747C9" w:rsidRDefault="006872E0" w:rsidP="00C747C9">
      <w:pPr>
        <w:spacing w:after="48"/>
        <w:ind w:left="-15"/>
        <w:rPr>
          <w:rFonts w:ascii="Times New Roman" w:hAnsi="Times New Roman" w:cs="Times New Roman"/>
          <w:b/>
          <w:szCs w:val="20"/>
          <w:lang w:val="ru-RU"/>
        </w:rPr>
      </w:pPr>
      <w:r w:rsidRPr="00C747C9">
        <w:rPr>
          <w:rFonts w:ascii="Times New Roman" w:hAnsi="Times New Roman" w:cs="Times New Roman"/>
          <w:szCs w:val="20"/>
          <w:lang w:val="ru-RU"/>
        </w:rPr>
        <w:t xml:space="preserve">Ссылки на источники </w:t>
      </w:r>
      <w:r w:rsidR="00995924" w:rsidRPr="00C747C9">
        <w:rPr>
          <w:rFonts w:ascii="Times New Roman" w:hAnsi="Times New Roman" w:cs="Times New Roman"/>
          <w:szCs w:val="20"/>
          <w:lang w:val="ru-RU"/>
        </w:rPr>
        <w:t>желательно</w:t>
      </w:r>
      <w:r w:rsidRPr="00C747C9">
        <w:rPr>
          <w:rFonts w:ascii="Times New Roman" w:hAnsi="Times New Roman" w:cs="Times New Roman"/>
          <w:szCs w:val="20"/>
          <w:lang w:val="ru-RU"/>
        </w:rPr>
        <w:t xml:space="preserve"> оформлят</w:t>
      </w:r>
      <w:bookmarkStart w:id="0" w:name="_GoBack"/>
      <w:bookmarkEnd w:id="0"/>
      <w:r w:rsidRPr="00C747C9">
        <w:rPr>
          <w:rFonts w:ascii="Times New Roman" w:hAnsi="Times New Roman" w:cs="Times New Roman"/>
          <w:szCs w:val="20"/>
          <w:lang w:val="ru-RU"/>
        </w:rPr>
        <w:t xml:space="preserve">ь </w:t>
      </w:r>
      <w:r w:rsidR="00C747C9" w:rsidRPr="00C747C9">
        <w:rPr>
          <w:rFonts w:ascii="Times New Roman" w:hAnsi="Times New Roman" w:cs="Times New Roman"/>
          <w:szCs w:val="20"/>
          <w:lang w:val="ru-RU"/>
        </w:rPr>
        <w:t>через менеджер</w:t>
      </w:r>
      <w:r w:rsidR="00995924" w:rsidRPr="00C747C9">
        <w:rPr>
          <w:rFonts w:ascii="Times New Roman" w:hAnsi="Times New Roman" w:cs="Times New Roman"/>
          <w:szCs w:val="20"/>
          <w:lang w:val="ru-RU"/>
        </w:rPr>
        <w:t xml:space="preserve"> источников </w:t>
      </w:r>
      <w:r w:rsidR="00995924" w:rsidRPr="00C747C9">
        <w:rPr>
          <w:rFonts w:ascii="Times New Roman" w:hAnsi="Times New Roman" w:cs="Times New Roman"/>
          <w:szCs w:val="20"/>
        </w:rPr>
        <w:t>Word</w:t>
      </w:r>
      <w:r w:rsidR="00995924" w:rsidRPr="00C747C9">
        <w:rPr>
          <w:rFonts w:ascii="Times New Roman" w:hAnsi="Times New Roman" w:cs="Times New Roman"/>
          <w:szCs w:val="20"/>
          <w:lang w:val="ru-RU"/>
        </w:rPr>
        <w:t>, допускается работать с источниками вручную, ссылаться</w:t>
      </w:r>
      <w:r w:rsidRPr="00C747C9">
        <w:rPr>
          <w:rFonts w:ascii="Times New Roman" w:hAnsi="Times New Roman" w:cs="Times New Roman"/>
          <w:szCs w:val="20"/>
          <w:lang w:val="ru-RU"/>
        </w:rPr>
        <w:t xml:space="preserve"> </w:t>
      </w:r>
      <w:r w:rsidRPr="00C747C9">
        <w:rPr>
          <w:rFonts w:ascii="Times New Roman" w:hAnsi="Times New Roman" w:cs="Times New Roman"/>
          <w:szCs w:val="20"/>
          <w:lang w:val="ru-RU"/>
        </w:rPr>
        <w:t xml:space="preserve">по библиографической метке </w:t>
      </w:r>
      <w:sdt>
        <w:sdtPr>
          <w:rPr>
            <w:rFonts w:ascii="Times New Roman" w:hAnsi="Times New Roman" w:cs="Times New Roman"/>
            <w:szCs w:val="20"/>
            <w:lang w:val="ru-RU"/>
          </w:rPr>
          <w:id w:val="-284198051"/>
          <w:citation/>
        </w:sdtPr>
        <w:sdtContent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begin"/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instrText xml:space="preserve"> CITATION Бой19 \l 1049 </w:instrText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separate"/>
          </w:r>
          <w:r w:rsidR="00C747C9" w:rsidRPr="00C747C9">
            <w:rPr>
              <w:rFonts w:ascii="Times New Roman" w:hAnsi="Times New Roman" w:cs="Times New Roman"/>
              <w:noProof/>
              <w:szCs w:val="20"/>
              <w:lang w:val="ru-RU"/>
            </w:rPr>
            <w:t>(Бойко, 2019)</w:t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end"/>
          </w:r>
        </w:sdtContent>
      </w:sdt>
      <w:r w:rsidR="00C747C9">
        <w:rPr>
          <w:rFonts w:ascii="Times New Roman" w:hAnsi="Times New Roman" w:cs="Times New Roman"/>
          <w:szCs w:val="20"/>
          <w:lang w:val="ru-RU"/>
        </w:rPr>
        <w:t xml:space="preserve">, </w:t>
      </w:r>
      <w:sdt>
        <w:sdtPr>
          <w:rPr>
            <w:rFonts w:ascii="Times New Roman" w:hAnsi="Times New Roman" w:cs="Times New Roman"/>
            <w:szCs w:val="20"/>
            <w:lang w:val="ru-RU"/>
          </w:rPr>
          <w:id w:val="-1269148963"/>
          <w:citation/>
        </w:sdtPr>
        <w:sdtContent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begin"/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instrText xml:space="preserve"> CITATION Dra13 \l 1049 </w:instrText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separate"/>
          </w:r>
          <w:r w:rsidR="00C747C9" w:rsidRPr="00C747C9">
            <w:rPr>
              <w:rFonts w:ascii="Times New Roman" w:hAnsi="Times New Roman" w:cs="Times New Roman"/>
              <w:noProof/>
              <w:szCs w:val="20"/>
              <w:lang w:val="ru-RU"/>
            </w:rPr>
            <w:t>(Drachev V.P., 2013)</w:t>
          </w:r>
          <w:r w:rsidR="00C747C9">
            <w:rPr>
              <w:rFonts w:ascii="Times New Roman" w:hAnsi="Times New Roman" w:cs="Times New Roman"/>
              <w:szCs w:val="20"/>
              <w:lang w:val="ru-RU"/>
            </w:rPr>
            <w:fldChar w:fldCharType="end"/>
          </w:r>
        </w:sdtContent>
      </w:sdt>
      <w:r w:rsidRPr="00C747C9">
        <w:rPr>
          <w:rFonts w:ascii="Times New Roman" w:hAnsi="Times New Roman" w:cs="Times New Roman"/>
          <w:szCs w:val="20"/>
          <w:lang w:val="ru-RU"/>
        </w:rPr>
        <w:t>.</w:t>
      </w:r>
    </w:p>
    <w:sdt>
      <w:sdtPr>
        <w:rPr>
          <w:rFonts w:ascii="Times New Roman" w:hAnsi="Times New Roman" w:cs="Times New Roman"/>
        </w:rPr>
        <w:id w:val="1265188317"/>
        <w:docPartObj>
          <w:docPartGallery w:val="Bibliographies"/>
          <w:docPartUnique/>
        </w:docPartObj>
      </w:sdtPr>
      <w:sdtEndPr>
        <w:rPr>
          <w:sz w:val="20"/>
        </w:rPr>
      </w:sdtEndPr>
      <w:sdtContent>
        <w:p w:rsidR="00C747C9" w:rsidRPr="00C747C9" w:rsidRDefault="00C747C9">
          <w:pPr>
            <w:pStyle w:val="Heading1"/>
            <w:rPr>
              <w:rFonts w:ascii="Times New Roman" w:hAnsi="Times New Roman" w:cs="Times New Roman"/>
              <w:b/>
              <w:color w:val="000000" w:themeColor="text1"/>
              <w:sz w:val="20"/>
              <w:lang w:val="ru-RU"/>
            </w:rPr>
          </w:pPr>
          <w:r w:rsidRPr="00C747C9">
            <w:rPr>
              <w:rFonts w:ascii="Times New Roman" w:hAnsi="Times New Roman" w:cs="Times New Roman"/>
              <w:b/>
              <w:color w:val="000000" w:themeColor="text1"/>
              <w:sz w:val="20"/>
              <w:lang w:val="ru-RU"/>
            </w:rPr>
            <w:t>Список литературы</w:t>
          </w:r>
        </w:p>
        <w:sdt>
          <w:sdtPr>
            <w:rPr>
              <w:rFonts w:ascii="Times New Roman" w:hAnsi="Times New Roman" w:cs="Times New Roman"/>
            </w:rPr>
            <w:id w:val="-573587230"/>
            <w:bibliography/>
          </w:sdtPr>
          <w:sdtContent>
            <w:p w:rsidR="00C747C9" w:rsidRPr="00C747C9" w:rsidRDefault="00C747C9" w:rsidP="00C747C9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747C9">
                <w:rPr>
                  <w:rFonts w:ascii="Times New Roman" w:hAnsi="Times New Roman" w:cs="Times New Roman"/>
                </w:rPr>
                <w:fldChar w:fldCharType="begin"/>
              </w:r>
              <w:r w:rsidRPr="00C747C9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C747C9">
                <w:rPr>
                  <w:rFonts w:ascii="Times New Roman" w:hAnsi="Times New Roman" w:cs="Times New Roman"/>
                </w:rPr>
                <w:fldChar w:fldCharType="separate"/>
              </w:r>
              <w:r w:rsidRPr="00C747C9">
                <w:rPr>
                  <w:rFonts w:ascii="Times New Roman" w:hAnsi="Times New Roman" w:cs="Times New Roman"/>
                  <w:b/>
                  <w:bCs/>
                  <w:noProof/>
                </w:rPr>
                <w:t>Drachev V.P. Podolskiy V.A., Kildishev A.V.</w:t>
              </w:r>
              <w:r w:rsidRPr="00C747C9">
                <w:rPr>
                  <w:rFonts w:ascii="Times New Roman" w:hAnsi="Times New Roman" w:cs="Times New Roman"/>
                  <w:noProof/>
                </w:rPr>
                <w:t xml:space="preserve"> Hyperbolic metamaterials: new physics behind a classical problem [Journal] // Optics Express V. 21(12). - 2013. - p. 15048.</w:t>
              </w:r>
            </w:p>
            <w:p w:rsidR="00C747C9" w:rsidRPr="00C747C9" w:rsidRDefault="00C747C9" w:rsidP="00C747C9">
              <w:pPr>
                <w:pStyle w:val="Bibliography"/>
                <w:rPr>
                  <w:rFonts w:ascii="Times New Roman" w:hAnsi="Times New Roman" w:cs="Times New Roman"/>
                  <w:noProof/>
                  <w:lang w:val="ru-RU"/>
                </w:rPr>
              </w:pPr>
              <w:r w:rsidRPr="00C747C9">
                <w:rPr>
                  <w:rFonts w:ascii="Times New Roman" w:hAnsi="Times New Roman" w:cs="Times New Roman"/>
                  <w:b/>
                  <w:bCs/>
                  <w:noProof/>
                  <w:lang w:val="ru-RU"/>
                </w:rPr>
                <w:t>Бойко В. В., Лапкис А. А.</w:t>
              </w:r>
              <w:r w:rsidRPr="00C747C9">
                <w:rPr>
                  <w:rFonts w:ascii="Times New Roman" w:hAnsi="Times New Roman" w:cs="Times New Roman"/>
                  <w:noProof/>
                  <w:lang w:val="ru-RU"/>
                </w:rPr>
                <w:t xml:space="preserve"> Построение эталонных виброакустических портретов операций перегрузки ядерного топлива [Конференция] // СОТБ: материалы VI Всероссийской конференции и школы для молодых ученых – Ростов-на-Дону. - Таганрог : издательство Южного федерального университета, 2019. - стр. 213.</w:t>
              </w:r>
            </w:p>
            <w:p w:rsidR="00B9296C" w:rsidRPr="00C747C9" w:rsidRDefault="00C747C9" w:rsidP="00C747C9">
              <w:pPr>
                <w:rPr>
                  <w:rFonts w:ascii="Times New Roman" w:hAnsi="Times New Roman" w:cs="Times New Roman"/>
                </w:rPr>
              </w:pPr>
              <w:r w:rsidRPr="00C747C9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B9296C" w:rsidRPr="00C747C9" w:rsidSect="003B49F1">
      <w:headerReference w:type="default" r:id="rId10"/>
      <w:footerReference w:type="default" r:id="rId11"/>
      <w:headerReference w:type="first" r:id="rId12"/>
      <w:footerReference w:type="first" r:id="rId13"/>
      <w:pgSz w:w="8391" w:h="11906"/>
      <w:pgMar w:top="879" w:right="1077" w:bottom="743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E0" w:rsidRDefault="006872E0" w:rsidP="003B49F1">
      <w:pPr>
        <w:spacing w:after="0" w:line="240" w:lineRule="auto"/>
      </w:pPr>
      <w:r>
        <w:separator/>
      </w:r>
    </w:p>
  </w:endnote>
  <w:endnote w:type="continuationSeparator" w:id="0">
    <w:p w:rsidR="006872E0" w:rsidRDefault="006872E0" w:rsidP="003B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000000" w:themeColor="text1"/>
      </w:rPr>
      <w:id w:val="1618401919"/>
      <w:docPartObj>
        <w:docPartGallery w:val="Page Numbers (Bottom of Page)"/>
        <w:docPartUnique/>
      </w:docPartObj>
    </w:sdtPr>
    <w:sdtEndPr>
      <w:rPr>
        <w:noProof/>
        <w:color w:val="000000"/>
      </w:rPr>
    </w:sdtEndPr>
    <w:sdtContent>
      <w:p w:rsidR="003B49F1" w:rsidRPr="003B49F1" w:rsidRDefault="003B49F1" w:rsidP="003B49F1">
        <w:pPr>
          <w:pStyle w:val="Footer"/>
          <w:jc w:val="center"/>
          <w:rPr>
            <w:rFonts w:ascii="Times New Roman" w:hAnsi="Times New Roman" w:cs="Times New Roman"/>
          </w:rPr>
        </w:pPr>
        <w:r w:rsidRPr="003B49F1">
          <w:rPr>
            <w:rFonts w:ascii="Times New Roman" w:hAnsi="Times New Roman" w:cs="Times New Roman"/>
          </w:rPr>
          <w:fldChar w:fldCharType="begin"/>
        </w:r>
        <w:r w:rsidRPr="003B49F1">
          <w:rPr>
            <w:rFonts w:ascii="Times New Roman" w:hAnsi="Times New Roman" w:cs="Times New Roman"/>
          </w:rPr>
          <w:instrText xml:space="preserve"> PAGE   \* MERGEFORMAT </w:instrText>
        </w:r>
        <w:r w:rsidRPr="003B49F1">
          <w:rPr>
            <w:rFonts w:ascii="Times New Roman" w:hAnsi="Times New Roman" w:cs="Times New Roman"/>
          </w:rPr>
          <w:fldChar w:fldCharType="separate"/>
        </w:r>
        <w:r w:rsidRPr="003B49F1">
          <w:rPr>
            <w:rFonts w:ascii="Times New Roman" w:hAnsi="Times New Roman" w:cs="Times New Roman"/>
            <w:noProof/>
          </w:rPr>
          <w:t>2</w:t>
        </w:r>
        <w:r w:rsidRPr="003B49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1" w:rsidRPr="003B49F1" w:rsidRDefault="003B49F1">
    <w:pPr>
      <w:pStyle w:val="Footer"/>
      <w:jc w:val="center"/>
      <w:rPr>
        <w:rFonts w:ascii="Times New Roman" w:hAnsi="Times New Roman" w:cs="Times New Roman"/>
        <w:caps/>
        <w:noProof/>
        <w:color w:val="000000" w:themeColor="text1"/>
      </w:rPr>
    </w:pPr>
    <w:r w:rsidRPr="003B49F1">
      <w:rPr>
        <w:rFonts w:ascii="Times New Roman" w:hAnsi="Times New Roman" w:cs="Times New Roman"/>
        <w:caps/>
        <w:color w:val="000000" w:themeColor="text1"/>
      </w:rPr>
      <w:fldChar w:fldCharType="begin"/>
    </w:r>
    <w:r w:rsidRPr="003B49F1">
      <w:rPr>
        <w:rFonts w:ascii="Times New Roman" w:hAnsi="Times New Roman" w:cs="Times New Roman"/>
        <w:caps/>
        <w:color w:val="000000" w:themeColor="text1"/>
      </w:rPr>
      <w:instrText xml:space="preserve"> PAGE   \* MERGEFORMAT </w:instrText>
    </w:r>
    <w:r w:rsidRPr="003B49F1">
      <w:rPr>
        <w:rFonts w:ascii="Times New Roman" w:hAnsi="Times New Roman" w:cs="Times New Roman"/>
        <w:caps/>
        <w:color w:val="000000" w:themeColor="text1"/>
      </w:rPr>
      <w:fldChar w:fldCharType="separate"/>
    </w:r>
    <w:r w:rsidRPr="003B49F1">
      <w:rPr>
        <w:rFonts w:ascii="Times New Roman" w:hAnsi="Times New Roman" w:cs="Times New Roman"/>
        <w:caps/>
        <w:noProof/>
        <w:color w:val="000000" w:themeColor="text1"/>
      </w:rPr>
      <w:t>2</w:t>
    </w:r>
    <w:r w:rsidRPr="003B49F1">
      <w:rPr>
        <w:rFonts w:ascii="Times New Roman" w:hAnsi="Times New Roman" w:cs="Times New Roman"/>
        <w:caps/>
        <w:noProof/>
        <w:color w:val="000000" w:themeColor="text1"/>
      </w:rPr>
      <w:fldChar w:fldCharType="end"/>
    </w:r>
  </w:p>
  <w:p w:rsidR="003B49F1" w:rsidRDefault="003B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E0" w:rsidRDefault="006872E0" w:rsidP="003B49F1">
      <w:pPr>
        <w:spacing w:after="0" w:line="240" w:lineRule="auto"/>
      </w:pPr>
      <w:r>
        <w:separator/>
      </w:r>
    </w:p>
  </w:footnote>
  <w:footnote w:type="continuationSeparator" w:id="0">
    <w:p w:rsidR="006872E0" w:rsidRDefault="006872E0" w:rsidP="003B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1" w:rsidRPr="00995924" w:rsidRDefault="003B49F1" w:rsidP="003B49F1">
    <w:pPr>
      <w:spacing w:after="3" w:line="259" w:lineRule="auto"/>
      <w:ind w:left="10" w:hanging="10"/>
      <w:jc w:val="center"/>
      <w:rPr>
        <w:rFonts w:ascii="Times New Roman" w:hAnsi="Times New Roman" w:cs="Times New Roman"/>
      </w:rPr>
    </w:pPr>
    <w:proofErr w:type="spellStart"/>
    <w:r w:rsidRPr="00995924">
      <w:rPr>
        <w:rFonts w:ascii="Times New Roman" w:hAnsi="Times New Roman" w:cs="Times New Roman"/>
      </w:rPr>
      <w:t>Текущая</w:t>
    </w:r>
    <w:proofErr w:type="spellEnd"/>
    <w:r w:rsidRPr="00995924">
      <w:rPr>
        <w:rFonts w:ascii="Times New Roman" w:hAnsi="Times New Roman" w:cs="Times New Roman"/>
      </w:rPr>
      <w:t xml:space="preserve"> </w:t>
    </w:r>
    <w:proofErr w:type="spellStart"/>
    <w:r w:rsidRPr="00995924">
      <w:rPr>
        <w:rFonts w:ascii="Times New Roman" w:hAnsi="Times New Roman" w:cs="Times New Roman"/>
      </w:rPr>
      <w:t>секция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F1" w:rsidRPr="003B49F1" w:rsidRDefault="003B49F1" w:rsidP="003B49F1">
    <w:pPr>
      <w:spacing w:after="3" w:line="259" w:lineRule="auto"/>
      <w:ind w:left="10" w:hanging="10"/>
      <w:jc w:val="center"/>
      <w:rPr>
        <w:rFonts w:ascii="Times New Roman" w:hAnsi="Times New Roman" w:cs="Times New Roman"/>
        <w:color w:val="000000" w:themeColor="text1"/>
        <w:lang w:val="ru-RU"/>
      </w:rPr>
    </w:pPr>
    <w:r w:rsidRPr="003B49F1">
      <w:rPr>
        <w:rFonts w:ascii="Times New Roman" w:hAnsi="Times New Roman" w:cs="Times New Roman"/>
        <w:color w:val="000000" w:themeColor="text1"/>
        <w:lang w:val="ru-RU"/>
      </w:rPr>
      <w:t>Научно-практическая конференция «Шаг в науку»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5A28"/>
    <w:multiLevelType w:val="hybridMultilevel"/>
    <w:tmpl w:val="D9180858"/>
    <w:lvl w:ilvl="0" w:tplc="5BA6760C">
      <w:start w:val="1"/>
      <w:numFmt w:val="decimal"/>
      <w:lvlText w:val="[%1]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02036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EE48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08E9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29562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CAC1C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AFE78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41480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4C814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6C"/>
    <w:rsid w:val="003B49F1"/>
    <w:rsid w:val="006872E0"/>
    <w:rsid w:val="00995924"/>
    <w:rsid w:val="00B9296C"/>
    <w:rsid w:val="00C747C9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1B93"/>
  <w15:docId w15:val="{8E9EE198-CC59-4440-B0AF-C32A7B5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firstLine="289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9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F1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49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F1"/>
    <w:rPr>
      <w:rFonts w:ascii="Calibri" w:eastAsia="Calibri" w:hAnsi="Calibri" w:cs="Calibri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3B49F1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7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>
  <b:Source>
    <b:Tag>Бой19</b:Tag>
    <b:SourceType>ConferenceProceedings</b:SourceType>
    <b:Guid>{3FBA032F-46DD-4952-B586-78D1DE30DEEA}</b:Guid>
    <b:Author>
      <b:Author>
        <b:NameList>
          <b:Person>
            <b:Last>Бойко</b:Last>
            <b:First>В.</b:First>
            <b:Middle>В., Лапкис, А. А.</b:Middle>
          </b:Person>
        </b:NameList>
      </b:Author>
    </b:Author>
    <b:Title>Построение эталонных виброакустических портретов операций перегрузки ядерного топлива</b:Title>
    <b:Year>2019</b:Year>
    <b:Pages>213</b:Pages>
    <b:LCID>ru-RU</b:LCID>
    <b:ConferenceName>СОТБ: материалы VI Всероссийской конференции и школы для молодых ученых – Ростов-на-Дону</b:ConferenceName>
    <b:City>Таганрог</b:City>
    <b:Publisher>издательство Южного федерального университета</b:Publisher>
    <b:RefOrder>1</b:RefOrder>
  </b:Source>
  <b:Source>
    <b:Tag>Dra13</b:Tag>
    <b:SourceType>JournalArticle</b:SourceType>
    <b:Guid>{3DB09130-A8C1-444A-83BF-705E2769A788}</b:Guid>
    <b:Author>
      <b:Author>
        <b:NameList>
          <b:Person>
            <b:Last>Drachev V.P.</b:Last>
            <b:First>Podolskiy</b:First>
            <b:Middle>V.A., Kildishev A.V.</b:Middle>
          </b:Person>
        </b:NameList>
      </b:Author>
    </b:Author>
    <b:Title>Hyperbolic metamaterials: new physics behind a classical problem</b:Title>
    <b:Pages>15048</b:Pages>
    <b:Year>2013</b:Year>
    <b:JournalName>Optics Express V. 21(12)</b:JournalName>
    <b:RefOrder>2</b:RefOrder>
  </b:Source>
</b:Sources>
</file>

<file path=customXml/itemProps1.xml><?xml version="1.0" encoding="utf-8"?>
<ds:datastoreItem xmlns:ds="http://schemas.openxmlformats.org/officeDocument/2006/customXml" ds:itemID="{88D98525-A3E6-4303-AE58-6C055AC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</cp:lastModifiedBy>
  <cp:revision>3</cp:revision>
  <dcterms:created xsi:type="dcterms:W3CDTF">2022-05-22T18:57:00Z</dcterms:created>
  <dcterms:modified xsi:type="dcterms:W3CDTF">2022-05-22T18:59:00Z</dcterms:modified>
</cp:coreProperties>
</file>