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Орлова Н. Б., Балабан И. В.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b/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Инструкция по подготовке и оформлению</w:t>
        <w:br/>
        <w:t>статей для сборников конференций, проводимых СибГУТИ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УДК: 000.000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left="567" w:right="567" w:hanging="0"/>
        <w:jc w:val="both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>Данный текст – это инструкция по подготовке и оформлению статей для сборников конференций. Может быть использован авторами как шаблон оформления. Аннотация представляет собой краткое изложение результатов работы. В аннотации не допускаются ссылки на литературу, изменение шрифта и любые выделения текста.</w:t>
      </w:r>
    </w:p>
    <w:p>
      <w:pPr>
        <w:pStyle w:val="Normal"/>
        <w:ind w:left="567" w:hanging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</w:r>
    </w:p>
    <w:p>
      <w:pPr>
        <w:pStyle w:val="Normal"/>
        <w:ind w:left="567" w:hanging="0"/>
        <w:rPr>
          <w:sz w:val="22"/>
          <w:szCs w:val="24"/>
          <w:lang w:val="ru-RU"/>
        </w:rPr>
      </w:pPr>
      <w:r>
        <w:rPr>
          <w:i/>
          <w:sz w:val="22"/>
          <w:szCs w:val="24"/>
          <w:lang w:val="ru-RU"/>
        </w:rPr>
        <w:t>Ключевые слова:</w:t>
      </w:r>
      <w:r>
        <w:rPr>
          <w:sz w:val="22"/>
          <w:szCs w:val="24"/>
          <w:lang w:val="ru-RU"/>
        </w:rPr>
        <w:t xml:space="preserve"> правила для авторов, стили, форматирование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b/>
          <w:b/>
          <w:sz w:val="24"/>
          <w:szCs w:val="24"/>
          <w:lang w:val="ru-RU"/>
        </w:rPr>
      </w:pPr>
      <w:r>
        <w:rPr>
          <w:b/>
          <w:sz w:val="28"/>
          <w:szCs w:val="24"/>
          <w:lang w:val="ru-RU"/>
        </w:rPr>
        <w:t>1. Введение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Данный документ следует использовать в качестве шаблона при подготовке статьи. Весь текст статьи должен быть оформлен в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 xml:space="preserve"> и иметь единый шрифт – </w:t>
      </w:r>
      <w:r>
        <w:rPr>
          <w:sz w:val="24"/>
          <w:szCs w:val="24"/>
        </w:rPr>
        <w:t>Times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New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Roman</w:t>
      </w:r>
      <w:r>
        <w:rPr>
          <w:sz w:val="24"/>
          <w:szCs w:val="24"/>
          <w:lang w:val="ru-RU"/>
        </w:rPr>
        <w:t xml:space="preserve">, межстрочный интервал – одинарный. Поля документа 2 см со всех сторон, как в шаблоне. </w:t>
      </w:r>
    </w:p>
    <w:p>
      <w:pPr>
        <w:pStyle w:val="Normal"/>
        <w:ind w:firstLine="851"/>
        <w:jc w:val="both"/>
        <w:rPr>
          <w:b/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Начинается работа с перечисления Фамилии, Имени (И) и Отчества (О) авторов в виде Фамилия И. О.,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центру.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Со следующей строки идёт заголовок: размер шрифта –20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начертание – </w:t>
      </w:r>
      <w:r>
        <w:rPr>
          <w:b/>
          <w:sz w:val="24"/>
          <w:szCs w:val="24"/>
          <w:lang w:val="ru-RU"/>
        </w:rPr>
        <w:t xml:space="preserve">полужирный, </w:t>
      </w:r>
      <w:r>
        <w:rPr>
          <w:sz w:val="24"/>
          <w:szCs w:val="24"/>
          <w:lang w:val="ru-RU"/>
        </w:rPr>
        <w:t xml:space="preserve">выравнивание по центру.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Далее идет УДК</w:t>
      </w:r>
      <w:r>
        <w:rPr>
          <w:rStyle w:val="Style16"/>
          <w:sz w:val="24"/>
          <w:szCs w:val="24"/>
        </w:rPr>
        <w:footnoteReference w:id="2"/>
      </w:r>
      <w:r>
        <w:rPr>
          <w:sz w:val="24"/>
          <w:szCs w:val="24"/>
          <w:lang w:val="ru-RU"/>
        </w:rPr>
        <w:t xml:space="preserve"> работы,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левому краю. УДК проставляется авторами согласно тематике статьи, ссылка на справочник по УДК в списке литературы [1].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У аннотации и </w:t>
      </w:r>
      <w:r>
        <w:rPr>
          <w:i/>
          <w:sz w:val="24"/>
          <w:szCs w:val="24"/>
          <w:lang w:val="ru-RU"/>
        </w:rPr>
        <w:t>ключевых слов</w:t>
      </w:r>
      <w:r>
        <w:rPr>
          <w:sz w:val="24"/>
          <w:szCs w:val="24"/>
          <w:lang w:val="ru-RU"/>
        </w:rPr>
        <w:t xml:space="preserve"> справа и слева от полей отступ 1 см, размер шрифта –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Аннотация от ключевых слов отделяется пустой строкой, размер шрифта –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Фраза «</w:t>
      </w:r>
      <w:r>
        <w:rPr>
          <w:i/>
          <w:sz w:val="22"/>
          <w:szCs w:val="24"/>
          <w:lang w:val="ru-RU"/>
        </w:rPr>
        <w:t>Ключевые слова:</w:t>
      </w:r>
      <w:r>
        <w:rPr>
          <w:sz w:val="24"/>
          <w:szCs w:val="24"/>
          <w:lang w:val="ru-RU"/>
        </w:rPr>
        <w:t>» выделяется курсивом, далее идёт перечисление через запятую.</w:t>
      </w:r>
    </w:p>
    <w:p>
      <w:pPr>
        <w:pStyle w:val="Normal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Основной текст статьи оформляется шрифтом размера 12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ширине, у первой строки отступ 1,5 см, между абзацами межстрочный интервал одинарный. </w:t>
      </w:r>
      <w:r>
        <w:rPr>
          <w:b/>
          <w:sz w:val="24"/>
          <w:szCs w:val="24"/>
          <w:lang w:val="ru-RU"/>
        </w:rPr>
        <w:t>Заголовки</w:t>
      </w:r>
      <w:r>
        <w:rPr>
          <w:sz w:val="24"/>
          <w:szCs w:val="24"/>
          <w:lang w:val="ru-RU"/>
        </w:rPr>
        <w:t xml:space="preserve"> статьи имеют размер шрифта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левому краю без красной строки. Заголовок отделяется от текста двумя пустыми строками, размер шрифта –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Размер научной статьи не должен превышать объёма 4-х страниц формата А4. Процент проверки антиплагиатата не должен быть ниже 75%. </w:t>
      </w:r>
    </w:p>
    <w:p>
      <w:pPr>
        <w:pStyle w:val="Normal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Список литературы приводится после основного текста статьи, в разделе «Литература». Название раздела оформляется по правилу для заголовков, а сам список должен иметь размер шрифта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, равнение по центру и отступ слева 1,5 см.</w:t>
      </w:r>
    </w:p>
    <w:p>
      <w:pPr>
        <w:pStyle w:val="Normal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 «Литературы» идет аффилиация авторов статьи, а именно полная контактная информацию для всех авторов, размер шрифта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Начитается аффилиация с красной строки с </w:t>
      </w:r>
      <w:r>
        <w:rPr>
          <w:b/>
          <w:sz w:val="24"/>
          <w:szCs w:val="24"/>
          <w:lang w:val="ru-RU"/>
        </w:rPr>
        <w:t>Фамилии Имени Отчества</w:t>
      </w:r>
      <w:r>
        <w:rPr>
          <w:sz w:val="24"/>
          <w:szCs w:val="24"/>
          <w:lang w:val="ru-RU"/>
        </w:rPr>
        <w:t xml:space="preserve"> первого автора, далее с красной строки: его учёная степень и звание, место работы (подразделение), должность, почтовый адрес (места работы), адрес электронной почты. Между аффилиациями авторов пустая, размер шрифта –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 В последней части статьи приводится название статьи, фамилия, имя, отчество (всех авторов) на английском языке шрифта </w:t>
      </w:r>
      <w:r>
        <w:rPr>
          <w:b/>
          <w:sz w:val="24"/>
          <w:szCs w:val="24"/>
          <w:lang w:val="ru-RU"/>
        </w:rPr>
        <w:t>полужирный</w:t>
      </w:r>
      <w:r>
        <w:rPr>
          <w:sz w:val="24"/>
          <w:szCs w:val="24"/>
          <w:lang w:val="ru-RU"/>
        </w:rPr>
        <w:t>, размер 11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Далее аннотация и </w:t>
      </w:r>
      <w:r>
        <w:rPr>
          <w:i/>
          <w:sz w:val="24"/>
          <w:szCs w:val="24"/>
          <w:lang w:val="ru-RU"/>
        </w:rPr>
        <w:t>ключевые слова</w:t>
      </w:r>
      <w:r>
        <w:rPr>
          <w:sz w:val="24"/>
          <w:szCs w:val="24"/>
          <w:lang w:val="ru-RU"/>
        </w:rPr>
        <w:t xml:space="preserve"> (выделенные </w:t>
      </w:r>
      <w:r>
        <w:rPr>
          <w:i/>
          <w:sz w:val="24"/>
          <w:szCs w:val="24"/>
          <w:lang w:val="ru-RU"/>
        </w:rPr>
        <w:t>курсивом</w:t>
      </w:r>
      <w:r>
        <w:rPr>
          <w:sz w:val="24"/>
          <w:szCs w:val="24"/>
          <w:lang w:val="ru-RU"/>
        </w:rPr>
        <w:t xml:space="preserve">) на английском языке, размер шрифта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У текста последней части работы на английском языке отступы от полей документа по 1 см, такие же как и у аннотации в начале статьи.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both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Особенности оформления текста работы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тексте статьи допускается не цветное выделение текста: </w:t>
      </w:r>
      <w:r>
        <w:rPr>
          <w:b/>
          <w:sz w:val="24"/>
          <w:szCs w:val="24"/>
          <w:lang w:val="ru-RU"/>
        </w:rPr>
        <w:t>полужирный шрифт</w:t>
      </w:r>
      <w:r>
        <w:rPr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курсив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u w:val="single"/>
          <w:lang w:val="ru-RU"/>
        </w:rPr>
        <w:t>подчеркивание.</w:t>
      </w:r>
      <w:r>
        <w:rPr>
          <w:sz w:val="24"/>
          <w:szCs w:val="24"/>
          <w:lang w:val="ru-RU"/>
        </w:rPr>
        <w:t xml:space="preserve"> Возможны сноски. Запрещены цветное выделение текста и гиперссылки, ссылка выносится в список литературы.</w:t>
      </w:r>
    </w:p>
    <w:p>
      <w:pPr>
        <w:pStyle w:val="Normal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Заголовок второго и последующего уровней оформляется с красной строки, полужирным шрифтом размера 12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 и отделяется пустыми стоками от предыдущего текста.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/>
        <w:jc w:val="both"/>
        <w:rPr>
          <w:b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2.1. Рисунки и таблицы</w:t>
      </w:r>
    </w:p>
    <w:p>
      <w:pPr>
        <w:pStyle w:val="Normal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Рисунки, фотографии и схемы должны быть хорошего качества, и могут быть цветными. Они вставляются в текст статьи и равнение по центру. Подпись к рисунку 12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, выравнивание по центру.</w:t>
      </w:r>
    </w:p>
    <w:p>
      <w:pPr>
        <w:pStyle w:val="Normal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/>
        <w:jc w:val="both"/>
        <w:rPr>
          <w:sz w:val="24"/>
          <w:szCs w:val="24"/>
          <w:lang w:val="ru-RU"/>
        </w:rPr>
      </w:pPr>
      <w:r>
        <w:rPr/>
        <mc:AlternateContent>
          <mc:Choice Requires="wps">
            <w:drawing>
              <wp:inline distT="0" distB="0" distL="0" distR="0" wp14:anchorId="4736BCAC">
                <wp:extent cx="304800" cy="304800"/>
                <wp:effectExtent l="0" t="0" r="0" b="0"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Фигура1" path="m0,0l-2147483645,0l-2147483645,-2147483646l0,-2147483646xe" stroked="f" o:allowincell="f" style="position:absolute;margin-left:0pt;margin-top:-24.05pt;width:23.95pt;height:23.95pt;mso-wrap-style:none;v-text-anchor:middle;mso-position-vertical:top" wp14:anchorId="4736BCAC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3457575" cy="3476625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Рисунок 1. Схема подключения выключателя </w:t>
      </w:r>
    </w:p>
    <w:p>
      <w:pPr>
        <w:pStyle w:val="Normal"/>
        <w:ind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Par2"/>
        <w:rPr>
          <w:lang w:val="ru-RU"/>
        </w:rPr>
      </w:pPr>
      <w:r>
        <w:rPr>
          <w:lang w:val="ru-RU"/>
        </w:rPr>
        <w:t xml:space="preserve">Заголовок таблицы даётся над таблицей.  Таблицы и рисунки располагаются по центру текста. Размер шрифта как и в тексте 12 </w:t>
      </w:r>
      <w:r>
        <w:rPr/>
        <w:t>pt</w:t>
      </w:r>
      <w:r>
        <w:rPr>
          <w:lang w:val="ru-RU"/>
        </w:rPr>
        <w:t>.</w:t>
      </w:r>
    </w:p>
    <w:p>
      <w:pPr>
        <w:pStyle w:val="VSPar2"/>
        <w:rPr>
          <w:lang w:val="ru-RU"/>
        </w:rPr>
      </w:pPr>
      <w:r>
        <w:rPr>
          <w:lang w:val="ru-RU"/>
        </w:rPr>
      </w:r>
    </w:p>
    <w:p>
      <w:pPr>
        <w:pStyle w:val="VSTableCaption"/>
        <w:rPr>
          <w:lang w:val="ru-RU"/>
        </w:rPr>
      </w:pPr>
      <w:r>
        <w:rPr>
          <w:lang w:val="ru-RU"/>
        </w:rPr>
        <w:t>Таблица 1. Назначение нитей серверного процесса</w:t>
      </w:r>
    </w:p>
    <w:p>
      <w:pPr>
        <w:pStyle w:val="VSText1"/>
        <w:rPr>
          <w:lang w:val="ru-RU"/>
        </w:rPr>
      </w:pPr>
      <w:r>
        <w:rPr>
          <w:lang w:val="ru-RU"/>
        </w:rPr>
      </w:r>
    </w:p>
    <w:tbl>
      <w:tblPr>
        <w:tblW w:w="72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85"/>
        <w:gridCol w:w="4356"/>
        <w:gridCol w:w="977"/>
        <w:gridCol w:w="1012"/>
      </w:tblGrid>
      <w:tr>
        <w:trPr/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Нить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Актив.</w:t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Приём запросов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-</w:t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2–10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Обслуживание запросов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sem_1</w:t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11,12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Обслуживание приоритетных запросов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sem_2</w:t>
            </w:r>
          </w:p>
        </w:tc>
      </w:tr>
    </w:tbl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  Ссылки на литературу</w:t>
      </w:r>
    </w:p>
    <w:p>
      <w:pPr>
        <w:pStyle w:val="VSPar2"/>
        <w:ind w:firstLine="709"/>
        <w:rPr>
          <w:szCs w:val="24"/>
          <w:lang w:val="ru-RU"/>
        </w:rPr>
      </w:pPr>
      <w:r>
        <w:rPr>
          <w:szCs w:val="24"/>
          <w:lang w:val="ru-RU"/>
        </w:rPr>
        <w:t>Ссылки на литературу оформляются в виде номера в квадратных скобках, например, ссылка на справочник по УДК [1]. Литературные источники нумеруются в порядке их цитирования.</w:t>
      </w:r>
    </w:p>
    <w:p>
      <w:pPr>
        <w:pStyle w:val="VSPar2"/>
        <w:ind w:firstLine="709"/>
        <w:rPr>
          <w:szCs w:val="24"/>
          <w:lang w:val="ru-RU"/>
        </w:rPr>
      </w:pPr>
      <w:r>
        <w:rPr>
          <w:szCs w:val="24"/>
          <w:lang w:val="ru-RU"/>
        </w:rPr>
        <w:t>Список литературы оформляется в соответствии с ГОСТ Р</w:t>
      </w:r>
      <w:r>
        <w:rPr>
          <w:szCs w:val="24"/>
        </w:rPr>
        <w:t> </w:t>
      </w:r>
      <w:r>
        <w:rPr>
          <w:szCs w:val="24"/>
          <w:lang w:val="ru-RU"/>
        </w:rPr>
        <w:t>7.0.5 – 2008 «Библиографическая ссылка. Общие требования и правила составления» или с ГОСТ Р 7.0.100 – 2018 «Библиографическая запись. Библиографическое описание. Общие требования и правила составления». В настоящей инструкции приведены типовые шаблоны по ГОСТ 2008 года для описаний монографий на русском [2] и английском [3] языках, книг с четырьмя и более авторами [4], книг без титульных авторов «под редакцией» [5], статей в русскоязычных журналах [6,</w:t>
      </w:r>
      <w:r>
        <w:rPr>
          <w:szCs w:val="24"/>
        </w:rPr>
        <w:t> </w:t>
      </w:r>
      <w:r>
        <w:rPr>
          <w:szCs w:val="24"/>
          <w:lang w:val="ru-RU"/>
        </w:rPr>
        <w:t>7], статей в англоязычных журналах [8], докладов на конференциях [9,</w:t>
      </w:r>
      <w:r>
        <w:rPr>
          <w:szCs w:val="24"/>
        </w:rPr>
        <w:t> </w:t>
      </w:r>
      <w:r>
        <w:rPr>
          <w:szCs w:val="24"/>
          <w:lang w:val="ru-RU"/>
        </w:rPr>
        <w:t>10], а также публикаций в Интернете [11–13].  В списке литературы Описание зарубежных источников даётся на языке оригинала без перевода.  При этом в названии статьи заглавной пишется только первая буква (за исключением имён собственных и символов элементов).  Для описаний работ в переводимых журналах указывайте сначала русскоязычный вариант, а затем (при необходимости) вариант на иностранном языке.</w:t>
      </w:r>
    </w:p>
    <w:p>
      <w:pPr>
        <w:pStyle w:val="Normal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ubsection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Этап рецензирования</w:t>
      </w:r>
    </w:p>
    <w:p>
      <w:pPr>
        <w:pStyle w:val="VSText1"/>
        <w:rPr>
          <w:lang w:val="ru-RU"/>
        </w:rPr>
      </w:pPr>
      <w:r>
        <w:rPr>
          <w:lang w:val="ru-RU"/>
        </w:rPr>
      </w:r>
    </w:p>
    <w:p>
      <w:pPr>
        <w:pStyle w:val="VSPar2"/>
        <w:ind w:firstLine="709"/>
        <w:rPr>
          <w:lang w:val="ru-RU"/>
        </w:rPr>
      </w:pPr>
      <w:r>
        <w:rPr>
          <w:lang w:val="ru-RU"/>
        </w:rPr>
        <w:t xml:space="preserve">Для издания в сборнике трудов Российской научно-технической конференции принимаются оригинальные, ранее не опубликованные материалы.  Все работы, представленные для участия в конференции, проходят рецензирование.  На рецензирование работу следует представлять в формате, требуемом для размещения в сборнике трудов конференции. </w:t>
      </w:r>
    </w:p>
    <w:p>
      <w:pPr>
        <w:pStyle w:val="VSPar2"/>
        <w:ind w:firstLine="709"/>
        <w:rPr>
          <w:lang w:val="ru-RU"/>
        </w:rPr>
      </w:pPr>
      <w:r>
        <w:rPr>
          <w:lang w:val="ru-RU"/>
        </w:rPr>
        <w:t>После процедуры рецензирования статьи автору (значащемуся первым в списке) будет выслано заключение о возможности принятия к опубликованию материала с рекомендациями по исправлению выявленных при рецензировании недочётов.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rPr>
          <w:lang w:val="ru-RU"/>
        </w:rPr>
      </w:pPr>
      <w:r>
        <w:rPr>
          <w:lang w:val="ru-RU"/>
        </w:rPr>
        <w:t>4.  Заключение</w:t>
      </w:r>
    </w:p>
    <w:p>
      <w:pPr>
        <w:pStyle w:val="VSPar2"/>
        <w:rPr>
          <w:lang w:val="ru-RU"/>
        </w:rPr>
      </w:pPr>
      <w:r>
        <w:rPr>
          <w:lang w:val="ru-RU"/>
        </w:rPr>
      </w:r>
    </w:p>
    <w:p>
      <w:pPr>
        <w:pStyle w:val="VSPar2"/>
        <w:ind w:firstLine="709"/>
        <w:rPr>
          <w:lang w:val="ru-RU"/>
        </w:rPr>
      </w:pPr>
      <w:r>
        <w:rPr>
          <w:lang w:val="ru-RU"/>
        </w:rPr>
        <w:t>Заключение и может содержать обзор основных моментов статьи, не следует повторять здесь аннотацию.  В заключении делаются выводы о важности работы и предлагаются дальнейшие приложения и расширения.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0" w:name="_GoBack"/>
      <w:bookmarkStart w:id="1" w:name="_GoBack"/>
      <w:bookmarkEnd w:id="1"/>
    </w:p>
    <w:p>
      <w:pPr>
        <w:pStyle w:val="VSSection"/>
        <w:rPr>
          <w:lang w:val="ru-RU"/>
        </w:rPr>
      </w:pPr>
      <w:r>
        <w:rPr>
          <w:lang w:val="ru-RU"/>
        </w:rPr>
        <w:t>Литература</w:t>
      </w:r>
    </w:p>
    <w:p>
      <w:pPr>
        <w:pStyle w:val="VSSection"/>
        <w:rPr>
          <w:lang w:val="ru-RU"/>
        </w:rPr>
      </w:pPr>
      <w:r>
        <w:rPr>
          <w:lang w:val="ru-RU"/>
        </w:rPr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>
          <w:lang w:val="ru-RU"/>
        </w:rPr>
        <w:t xml:space="preserve">1. Справочник по УДК [сайт]. [2015]. </w:t>
      </w:r>
      <w:r>
        <w:rPr/>
        <w:t>URL</w:t>
      </w:r>
      <w:r>
        <w:rPr>
          <w:lang w:val="ru-RU"/>
        </w:rPr>
        <w:t xml:space="preserve">: </w:t>
      </w:r>
      <w:r>
        <w:rPr/>
        <w:t>https</w:t>
      </w:r>
      <w:r>
        <w:rPr>
          <w:lang w:val="ru-RU"/>
        </w:rPr>
        <w:t>://</w:t>
      </w:r>
      <w:r>
        <w:rPr/>
        <w:t>teacode</w:t>
      </w:r>
      <w:r>
        <w:rPr>
          <w:lang w:val="ru-RU"/>
        </w:rPr>
        <w:t>.</w:t>
      </w:r>
      <w:r>
        <w:rPr/>
        <w:t>com</w:t>
      </w:r>
      <w:r>
        <w:rPr>
          <w:lang w:val="ru-RU"/>
        </w:rPr>
        <w:t>/</w:t>
      </w:r>
      <w:r>
        <w:rPr/>
        <w:t>online</w:t>
      </w:r>
      <w:r>
        <w:rPr>
          <w:lang w:val="ru-RU"/>
        </w:rPr>
        <w:t>/</w:t>
      </w:r>
      <w:r>
        <w:rPr/>
        <w:t>udc</w:t>
      </w:r>
      <w:r>
        <w:rPr>
          <w:lang w:val="ru-RU"/>
        </w:rPr>
        <w:t>/ (дата обращения: 28.02.2024).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>
          <w:lang w:val="ru-RU"/>
        </w:rPr>
        <w:t>2. </w:t>
      </w:r>
      <w:r>
        <w:rPr>
          <w:i/>
          <w:lang w:val="ru-RU"/>
        </w:rPr>
        <w:t>Рябко Б.</w:t>
      </w:r>
      <w:r>
        <w:rPr>
          <w:i/>
        </w:rPr>
        <w:t> </w:t>
      </w:r>
      <w:r>
        <w:rPr>
          <w:i/>
          <w:lang w:val="ru-RU"/>
        </w:rPr>
        <w:t>Я., 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Криптографические методы защиты информации: учебное пособие для вузов. М.: Горячая линия–Телеком, 2005. 229 с.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>
          <w:lang w:val="ru-RU"/>
        </w:rPr>
        <w:t>3.</w:t>
      </w:r>
      <w:r>
        <w:rPr/>
        <w:t> </w:t>
      </w:r>
      <w:r>
        <w:rPr>
          <w:i/>
        </w:rPr>
        <w:t>Blake</w:t>
      </w:r>
      <w:r>
        <w:rPr>
          <w:i/>
          <w:lang w:val="ru-RU"/>
        </w:rPr>
        <w:t xml:space="preserve"> </w:t>
      </w:r>
      <w:r>
        <w:rPr>
          <w:i/>
        </w:rPr>
        <w:t>I</w:t>
      </w:r>
      <w:r>
        <w:rPr>
          <w:i/>
          <w:lang w:val="ru-RU"/>
        </w:rPr>
        <w:t xml:space="preserve">., </w:t>
      </w:r>
      <w:r>
        <w:rPr>
          <w:i/>
        </w:rPr>
        <w:t>Seroussi</w:t>
      </w:r>
      <w:r>
        <w:rPr>
          <w:i/>
          <w:lang w:val="ru-RU"/>
        </w:rPr>
        <w:t xml:space="preserve"> </w:t>
      </w:r>
      <w:r>
        <w:rPr>
          <w:i/>
        </w:rPr>
        <w:t>G</w:t>
      </w:r>
      <w:r>
        <w:rPr>
          <w:i/>
          <w:lang w:val="ru-RU"/>
        </w:rPr>
        <w:t xml:space="preserve">., </w:t>
      </w:r>
      <w:r>
        <w:rPr>
          <w:i/>
        </w:rPr>
        <w:t>Smart</w:t>
      </w:r>
      <w:r>
        <w:rPr>
          <w:i/>
          <w:lang w:val="ru-RU"/>
        </w:rPr>
        <w:t xml:space="preserve"> </w:t>
      </w:r>
      <w:r>
        <w:rPr>
          <w:i/>
        </w:rPr>
        <w:t>N</w:t>
      </w:r>
      <w:r>
        <w:rPr>
          <w:i/>
          <w:lang w:val="ru-RU"/>
        </w:rPr>
        <w:t>.</w:t>
      </w:r>
      <w:r>
        <w:rPr>
          <w:lang w:val="ru-RU"/>
        </w:rPr>
        <w:t xml:space="preserve">  </w:t>
      </w:r>
      <w:r>
        <w:rPr/>
        <w:t xml:space="preserve">Elliptic Curves in Cryptography. Cambridge University Press, 2002. </w:t>
      </w:r>
      <w:r>
        <w:rPr>
          <w:lang w:val="ru-RU"/>
        </w:rPr>
        <w:t xml:space="preserve">204 </w:t>
      </w:r>
      <w:r>
        <w:rPr/>
        <w:t>p</w:t>
      </w:r>
      <w:r>
        <w:rPr>
          <w:lang w:val="ru-RU"/>
        </w:rPr>
        <w:t>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>
          <w:lang w:val="ru-RU"/>
        </w:rPr>
        <w:t>4. История России: учебник / А.</w:t>
      </w:r>
      <w:r>
        <w:rPr/>
        <w:t> </w:t>
      </w:r>
      <w:r>
        <w:rPr>
          <w:lang w:val="ru-RU"/>
        </w:rPr>
        <w:t>С. Орлов, В.</w:t>
      </w:r>
      <w:r>
        <w:rPr/>
        <w:t> </w:t>
      </w:r>
      <w:r>
        <w:rPr>
          <w:lang w:val="ru-RU"/>
        </w:rPr>
        <w:t>А. Георгиев, Н.</w:t>
      </w:r>
      <w:r>
        <w:rPr/>
        <w:t> </w:t>
      </w:r>
      <w:r>
        <w:rPr>
          <w:lang w:val="ru-RU"/>
        </w:rPr>
        <w:t>Г. Георгиева, Т.</w:t>
      </w:r>
      <w:r>
        <w:rPr/>
        <w:t> </w:t>
      </w:r>
      <w:r>
        <w:rPr>
          <w:lang w:val="ru-RU"/>
        </w:rPr>
        <w:t>А. Сивохина. 2-е изд., перераб. и доп. М.: Проспект, 2004. 514 с.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>
          <w:lang w:val="ru-RU"/>
        </w:rPr>
        <w:t>5. Экономика: учебник / под ред. А.</w:t>
      </w:r>
      <w:r>
        <w:rPr/>
        <w:t> </w:t>
      </w:r>
      <w:r>
        <w:rPr>
          <w:lang w:val="ru-RU"/>
        </w:rPr>
        <w:t>С. Булатова. 3-е изд., перераб. и доп. М.: Экономистъ, 2003. 894 с.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>
          <w:lang w:val="ru-RU"/>
        </w:rPr>
        <w:t>6</w:t>
      </w:r>
      <w:r>
        <w:rPr>
          <w:i/>
          <w:lang w:val="ru-RU"/>
        </w:rPr>
        <w:t>. Рябко Б.</w:t>
      </w:r>
      <w:r>
        <w:rPr>
          <w:i/>
        </w:rPr>
        <w:t> </w:t>
      </w:r>
      <w:r>
        <w:rPr>
          <w:i/>
          <w:lang w:val="ru-RU"/>
        </w:rPr>
        <w:t>Я., 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Эффективный метод адаптивного арифметического кодирования для источников с большими алфавитами // Проблемы передачи информации. 1999. Т.</w:t>
      </w:r>
      <w:r>
        <w:rPr/>
        <w:t> </w:t>
      </w:r>
      <w:r>
        <w:rPr>
          <w:lang w:val="ru-RU"/>
        </w:rPr>
        <w:t>35, №</w:t>
      </w:r>
      <w:r>
        <w:rPr/>
        <w:t> </w:t>
      </w:r>
      <w:r>
        <w:rPr>
          <w:lang w:val="ru-RU"/>
        </w:rPr>
        <w:t>4. С. 1–14.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>
          <w:lang w:val="ru-RU"/>
        </w:rPr>
        <w:t>7</w:t>
      </w:r>
      <w:r>
        <w:rPr>
          <w:i/>
          <w:lang w:val="ru-RU"/>
        </w:rPr>
        <w:t>. Найман В.</w:t>
      </w:r>
      <w:r>
        <w:rPr>
          <w:i/>
        </w:rPr>
        <w:t> </w:t>
      </w:r>
      <w:r>
        <w:rPr>
          <w:i/>
          <w:lang w:val="ru-RU"/>
        </w:rPr>
        <w:t>И.</w:t>
      </w:r>
      <w:r>
        <w:rPr>
          <w:lang w:val="ru-RU"/>
        </w:rPr>
        <w:t xml:space="preserve">  Тенденции развития телетрафика // Электросвязь. 2004. №</w:t>
      </w:r>
      <w:r>
        <w:rPr/>
        <w:t> </w:t>
      </w:r>
      <w:r>
        <w:rPr>
          <w:lang w:val="ru-RU"/>
        </w:rPr>
        <w:t>6. С. 32–35.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/>
        <w:t>8.</w:t>
      </w:r>
      <w:r>
        <w:rPr>
          <w:i/>
        </w:rPr>
        <w:t> Diffie W., Hellman M. E.</w:t>
      </w:r>
      <w:r>
        <w:rPr/>
        <w:t xml:space="preserve">  New directions in cryptography // IEEE Transactions on Information Theory. </w:t>
      </w:r>
      <w:r>
        <w:rPr>
          <w:lang w:val="ru-RU"/>
        </w:rPr>
        <w:t xml:space="preserve">1976. </w:t>
      </w:r>
      <w:r>
        <w:rPr/>
        <w:t>V</w:t>
      </w:r>
      <w:r>
        <w:rPr>
          <w:lang w:val="ru-RU"/>
        </w:rPr>
        <w:t>.</w:t>
      </w:r>
      <w:r>
        <w:rPr/>
        <w:t> </w:t>
      </w:r>
      <w:r>
        <w:rPr>
          <w:lang w:val="ru-RU"/>
        </w:rPr>
        <w:t>22, №</w:t>
      </w:r>
      <w:r>
        <w:rPr/>
        <w:t> </w:t>
      </w:r>
      <w:r>
        <w:rPr>
          <w:lang w:val="ru-RU"/>
        </w:rPr>
        <w:t xml:space="preserve">3. </w:t>
      </w:r>
      <w:r>
        <w:rPr/>
        <w:t>P</w:t>
      </w:r>
      <w:r>
        <w:rPr>
          <w:lang w:val="ru-RU"/>
        </w:rPr>
        <w:t>. 644–654.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/>
      </w:pPr>
      <w:r>
        <w:rPr>
          <w:lang w:val="ru-RU"/>
        </w:rPr>
        <w:t>9.</w:t>
      </w:r>
      <w:r>
        <w:rPr>
          <w:i/>
        </w:rPr>
        <w:t> </w:t>
      </w:r>
      <w:r>
        <w:rPr>
          <w:i/>
          <w:lang w:val="ru-RU"/>
        </w:rPr>
        <w:t>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Построение омофонных кодов при неизвестной статистике источника сообщений // Международный семинар «Перспективы развития современных средств и систем телекоммуникаций». Санкт</w:t>
      </w:r>
      <w:r>
        <w:rPr/>
        <w:t>-</w:t>
      </w:r>
      <w:r>
        <w:rPr>
          <w:lang w:val="ru-RU"/>
        </w:rPr>
        <w:t>Петербург</w:t>
      </w:r>
      <w:r>
        <w:rPr/>
        <w:t xml:space="preserve">, 30 </w:t>
      </w:r>
      <w:r>
        <w:rPr>
          <w:lang w:val="ru-RU"/>
        </w:rPr>
        <w:t>июня</w:t>
      </w:r>
      <w:r>
        <w:rPr/>
        <w:t xml:space="preserve"> – 4 </w:t>
      </w:r>
      <w:r>
        <w:rPr>
          <w:lang w:val="ru-RU"/>
        </w:rPr>
        <w:t>июля</w:t>
      </w:r>
      <w:r>
        <w:rPr/>
        <w:t xml:space="preserve">, 2002. </w:t>
      </w:r>
      <w:r>
        <w:rPr>
          <w:lang w:val="ru-RU"/>
        </w:rPr>
        <w:t>С</w:t>
      </w:r>
      <w:r>
        <w:rPr/>
        <w:t>. 83–86.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/>
        <w:t>10.</w:t>
      </w:r>
      <w:r>
        <w:rPr>
          <w:i/>
        </w:rPr>
        <w:t> Fionov A.</w:t>
      </w:r>
      <w:r>
        <w:rPr/>
        <w:t xml:space="preserve">  Arithmetic homophonic coding with dummy symbols // 2004 IEEE International Symposium on Information Theory (ISIT-2004). Chicago</w:t>
      </w:r>
      <w:r>
        <w:rPr>
          <w:lang w:val="ru-RU"/>
        </w:rPr>
        <w:t xml:space="preserve">, </w:t>
      </w:r>
      <w:r>
        <w:rPr/>
        <w:t>Illinois</w:t>
      </w:r>
      <w:r>
        <w:rPr>
          <w:lang w:val="ru-RU"/>
        </w:rPr>
        <w:t xml:space="preserve">, </w:t>
      </w:r>
      <w:r>
        <w:rPr/>
        <w:t>USA</w:t>
      </w:r>
      <w:r>
        <w:rPr>
          <w:lang w:val="ru-RU"/>
        </w:rPr>
        <w:t xml:space="preserve">, </w:t>
      </w:r>
      <w:r>
        <w:rPr/>
        <w:t>June</w:t>
      </w:r>
      <w:r>
        <w:rPr>
          <w:lang w:val="ru-RU"/>
        </w:rPr>
        <w:t xml:space="preserve"> 27 – </w:t>
      </w:r>
      <w:r>
        <w:rPr/>
        <w:t>July</w:t>
      </w:r>
      <w:r>
        <w:rPr>
          <w:lang w:val="ru-RU"/>
        </w:rPr>
        <w:t xml:space="preserve"> 2, 2004. </w:t>
      </w:r>
      <w:r>
        <w:rPr/>
        <w:t>P</w:t>
      </w:r>
      <w:r>
        <w:rPr>
          <w:lang w:val="ru-RU"/>
        </w:rPr>
        <w:t>. 129.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>
          <w:lang w:val="ru-RU"/>
        </w:rPr>
        <w:t>11.</w:t>
      </w:r>
      <w:r>
        <w:rPr>
          <w:i/>
          <w:lang w:val="ru-RU"/>
        </w:rPr>
        <w:t> Малашевич Б.</w:t>
      </w:r>
      <w:r>
        <w:rPr>
          <w:lang w:val="ru-RU"/>
        </w:rPr>
        <w:t xml:space="preserve"> Неизвестные модулярные суперЭВМ [Электронный ресурс]. </w:t>
      </w:r>
      <w:r>
        <w:rPr/>
        <w:t>URL</w:t>
      </w:r>
      <w:r>
        <w:rPr>
          <w:lang w:val="ru-RU"/>
        </w:rPr>
        <w:t xml:space="preserve">: </w:t>
      </w:r>
      <w:r>
        <w:rPr>
          <w:rStyle w:val="VSURL"/>
        </w:rPr>
        <w:t>http</w:t>
      </w:r>
      <w:r>
        <w:rPr>
          <w:rStyle w:val="VSURL"/>
          <w:lang w:val="ru-RU"/>
        </w:rPr>
        <w:t>:</w:t>
        <w:br/>
        <w:t>//</w:t>
      </w:r>
      <w:r>
        <w:rPr>
          <w:rStyle w:val="VSURL"/>
        </w:rPr>
        <w:t>www</w:t>
      </w:r>
      <w:r>
        <w:rPr>
          <w:rStyle w:val="VSURL"/>
          <w:lang w:val="ru-RU"/>
        </w:rPr>
        <w:t>.</w:t>
      </w:r>
      <w:r>
        <w:rPr>
          <w:rStyle w:val="VSURL"/>
        </w:rPr>
        <w:t>computer</w:t>
      </w:r>
      <w:r>
        <w:rPr>
          <w:rStyle w:val="VSURL"/>
          <w:lang w:val="ru-RU"/>
        </w:rPr>
        <w:t>-</w:t>
      </w:r>
      <w:r>
        <w:rPr>
          <w:rStyle w:val="VSURL"/>
        </w:rPr>
        <w:t>museum</w:t>
      </w:r>
      <w:r>
        <w:rPr>
          <w:rStyle w:val="VSURL"/>
          <w:lang w:val="ru-RU"/>
        </w:rPr>
        <w:t>.</w:t>
      </w:r>
      <w:r>
        <w:rPr>
          <w:rStyle w:val="VSURL"/>
        </w:rPr>
        <w:t>ru</w:t>
      </w:r>
      <w:r>
        <w:rPr>
          <w:rStyle w:val="VSURL"/>
          <w:lang w:val="ru-RU"/>
        </w:rPr>
        <w:t>/</w:t>
      </w:r>
      <w:r>
        <w:rPr>
          <w:rStyle w:val="VSURL"/>
        </w:rPr>
        <w:t>histussr</w:t>
      </w:r>
      <w:r>
        <w:rPr>
          <w:rStyle w:val="VSURL"/>
          <w:lang w:val="ru-RU"/>
        </w:rPr>
        <w:t>/</w:t>
      </w:r>
      <w:r>
        <w:rPr>
          <w:rStyle w:val="VSURL"/>
        </w:rPr>
        <w:t>sok</w:t>
      </w:r>
      <w:r>
        <w:rPr>
          <w:rStyle w:val="VSURL"/>
          <w:lang w:val="ru-RU"/>
        </w:rPr>
        <w:t>_</w:t>
      </w:r>
      <w:r>
        <w:rPr>
          <w:rStyle w:val="VSURL"/>
        </w:rPr>
        <w:t>evm</w:t>
      </w:r>
      <w:r>
        <w:rPr>
          <w:rStyle w:val="VSURL"/>
          <w:lang w:val="ru-RU"/>
        </w:rPr>
        <w:t>.</w:t>
      </w:r>
      <w:r>
        <w:rPr>
          <w:rStyle w:val="VSURL"/>
        </w:rPr>
        <w:t>htm</w:t>
      </w:r>
      <w:r>
        <w:rPr>
          <w:lang w:val="ru-RU"/>
        </w:rPr>
        <w:t xml:space="preserve"> (дата обращения: 12.01.2006).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left="567" w:hanging="0"/>
        <w:rPr>
          <w:lang w:val="ru-RU"/>
        </w:rPr>
      </w:pPr>
      <w:r>
        <w:rPr/>
        <w:t>12.</w:t>
      </w:r>
      <w:r>
        <w:rPr>
          <w:i/>
        </w:rPr>
        <w:t xml:space="preserve"> Ryabko B., Ryabko D. </w:t>
      </w:r>
      <w:r>
        <w:rPr/>
        <w:t xml:space="preserve">Provably secure universal steganographic systems // Cryptology ePrint Archive. </w:t>
      </w:r>
      <w:r>
        <w:rPr>
          <w:lang w:val="ru-RU"/>
        </w:rPr>
        <w:t xml:space="preserve">2006. </w:t>
      </w:r>
      <w:r>
        <w:rPr/>
        <w:t>Report</w:t>
      </w:r>
      <w:r>
        <w:rPr>
          <w:lang w:val="ru-RU"/>
        </w:rPr>
        <w:t xml:space="preserve"> 2006/063. </w:t>
      </w:r>
      <w:r>
        <w:rPr/>
        <w:t>URL</w:t>
      </w:r>
      <w:r>
        <w:rPr>
          <w:lang w:val="ru-RU"/>
        </w:rPr>
        <w:t xml:space="preserve">: </w:t>
      </w:r>
      <w:r>
        <w:rPr>
          <w:rStyle w:val="VSURL"/>
        </w:rPr>
        <w:t>http</w:t>
      </w:r>
      <w:r>
        <w:rPr>
          <w:rStyle w:val="VSURL"/>
          <w:lang w:val="ru-RU"/>
        </w:rPr>
        <w:t>://</w:t>
      </w:r>
      <w:r>
        <w:rPr>
          <w:rStyle w:val="VSURL"/>
        </w:rPr>
        <w:t>eprint</w:t>
      </w:r>
      <w:r>
        <w:rPr>
          <w:rStyle w:val="VSURL"/>
          <w:lang w:val="ru-RU"/>
        </w:rPr>
        <w:t>.</w:t>
      </w:r>
      <w:r>
        <w:rPr>
          <w:rStyle w:val="VSURL"/>
        </w:rPr>
        <w:t>iacr</w:t>
      </w:r>
      <w:r>
        <w:rPr>
          <w:rStyle w:val="VSURL"/>
          <w:lang w:val="ru-RU"/>
        </w:rPr>
        <w:t>.</w:t>
      </w:r>
      <w:r>
        <w:rPr>
          <w:rStyle w:val="VSURL"/>
        </w:rPr>
        <w:t>org</w:t>
      </w:r>
      <w:r>
        <w:rPr>
          <w:rStyle w:val="VSURL"/>
          <w:lang w:val="ru-RU"/>
        </w:rPr>
        <w:t>/2006/063</w:t>
      </w:r>
      <w:r>
        <w:rPr>
          <w:lang w:val="ru-RU"/>
        </w:rPr>
        <w:t xml:space="preserve"> (дата обращения: 23.08.2007).</w:t>
      </w:r>
    </w:p>
    <w:p>
      <w:pPr>
        <w:pStyle w:val="VSPar2"/>
        <w:tabs>
          <w:tab w:val="clear" w:pos="397"/>
          <w:tab w:val="left" w:pos="567" w:leader="none"/>
          <w:tab w:val="right" w:pos="9639" w:leader="none"/>
        </w:tabs>
        <w:ind w:left="567" w:hanging="0"/>
        <w:rPr>
          <w:rStyle w:val="VSText"/>
          <w:szCs w:val="24"/>
          <w:lang w:val="ru-RU"/>
        </w:rPr>
      </w:pPr>
      <w:r>
        <w:rPr>
          <w:lang w:val="ru-RU"/>
        </w:rPr>
        <w:t>13.</w:t>
      </w:r>
      <w:r>
        <w:rPr>
          <w:i/>
          <w:lang w:val="ru-RU"/>
        </w:rPr>
        <w:t> Лэтчфорд Е. У.</w:t>
      </w:r>
      <w:r>
        <w:rPr>
          <w:lang w:val="ru-RU"/>
        </w:rPr>
        <w:t xml:space="preserve"> С Белой армией в Сибири [Электронный ресурс] // Восточный фронт </w:t>
      </w:r>
      <w:r>
        <w:rPr>
          <w:szCs w:val="24"/>
          <w:lang w:val="ru-RU"/>
        </w:rPr>
        <w:t>армии адмирала А.</w:t>
      </w:r>
      <w:r>
        <w:rPr>
          <w:szCs w:val="24"/>
        </w:rPr>
        <w:t> </w:t>
      </w:r>
      <w:r>
        <w:rPr>
          <w:szCs w:val="24"/>
          <w:lang w:val="ru-RU"/>
        </w:rPr>
        <w:t>В.</w:t>
      </w:r>
      <w:r>
        <w:rPr>
          <w:szCs w:val="24"/>
        </w:rPr>
        <w:t> </w:t>
      </w:r>
      <w:r>
        <w:rPr>
          <w:szCs w:val="24"/>
          <w:lang w:val="ru-RU"/>
        </w:rPr>
        <w:t xml:space="preserve">Колчака: [сайт]. [2004]. </w:t>
      </w:r>
      <w:r>
        <w:rPr>
          <w:szCs w:val="24"/>
        </w:rPr>
        <w:t>URL</w:t>
      </w:r>
      <w:r>
        <w:rPr>
          <w:szCs w:val="24"/>
          <w:lang w:val="ru-RU"/>
        </w:rPr>
        <w:t xml:space="preserve">: </w:t>
      </w:r>
      <w:r>
        <w:rPr>
          <w:rStyle w:val="VSURL"/>
          <w:szCs w:val="24"/>
        </w:rPr>
        <w:t>http</w:t>
      </w:r>
      <w:r>
        <w:rPr>
          <w:rStyle w:val="VSURL"/>
          <w:szCs w:val="24"/>
          <w:lang w:val="ru-RU"/>
        </w:rPr>
        <w:t>://</w:t>
      </w:r>
      <w:r>
        <w:rPr>
          <w:rStyle w:val="VSURL"/>
          <w:szCs w:val="24"/>
        </w:rPr>
        <w:t>east</w:t>
      </w:r>
      <w:r>
        <w:rPr>
          <w:rStyle w:val="VSURL"/>
          <w:szCs w:val="24"/>
          <w:lang w:val="ru-RU"/>
        </w:rPr>
        <w:t>-</w:t>
      </w:r>
      <w:r>
        <w:rPr>
          <w:rStyle w:val="VSURL"/>
          <w:szCs w:val="24"/>
        </w:rPr>
        <w:t>front</w:t>
      </w:r>
      <w:r>
        <w:rPr>
          <w:rStyle w:val="VSURL"/>
          <w:szCs w:val="24"/>
          <w:lang w:val="ru-RU"/>
        </w:rPr>
        <w:t>.</w:t>
      </w:r>
      <w:r>
        <w:rPr>
          <w:rStyle w:val="VSURL"/>
          <w:szCs w:val="24"/>
        </w:rPr>
        <w:t>narod</w:t>
      </w:r>
      <w:r>
        <w:rPr>
          <w:rStyle w:val="VSURL"/>
          <w:szCs w:val="24"/>
          <w:lang w:val="ru-RU"/>
        </w:rPr>
        <w:t>.</w:t>
      </w:r>
      <w:r>
        <w:rPr>
          <w:rStyle w:val="VSURL"/>
          <w:szCs w:val="24"/>
        </w:rPr>
        <w:t>ru</w:t>
      </w:r>
      <w:r>
        <w:rPr>
          <w:rStyle w:val="VSURL"/>
          <w:szCs w:val="24"/>
          <w:lang w:val="ru-RU"/>
        </w:rPr>
        <w:br/>
        <w:t>/</w:t>
      </w:r>
      <w:r>
        <w:rPr>
          <w:rStyle w:val="VSURL"/>
          <w:szCs w:val="24"/>
        </w:rPr>
        <w:t>memo</w:t>
      </w:r>
      <w:r>
        <w:rPr>
          <w:rStyle w:val="VSURL"/>
          <w:szCs w:val="24"/>
          <w:lang w:val="ru-RU"/>
        </w:rPr>
        <w:t>/</w:t>
      </w:r>
      <w:r>
        <w:rPr>
          <w:rStyle w:val="VSURL"/>
          <w:szCs w:val="24"/>
        </w:rPr>
        <w:t>latchford</w:t>
      </w:r>
      <w:r>
        <w:rPr>
          <w:rStyle w:val="VSURL"/>
          <w:szCs w:val="24"/>
          <w:lang w:val="ru-RU"/>
        </w:rPr>
        <w:t>.</w:t>
      </w:r>
      <w:r>
        <w:rPr>
          <w:rStyle w:val="VSURL"/>
          <w:szCs w:val="24"/>
        </w:rPr>
        <w:t>htm</w:t>
      </w:r>
      <w:r>
        <w:rPr>
          <w:rStyle w:val="VSURL"/>
          <w:szCs w:val="24"/>
          <w:lang w:val="ru-RU"/>
        </w:rPr>
        <w:t xml:space="preserve"> </w:t>
      </w:r>
      <w:r>
        <w:rPr>
          <w:rStyle w:val="VSText"/>
          <w:szCs w:val="24"/>
          <w:lang w:val="ru-RU"/>
        </w:rPr>
        <w:t>(дата обращения: 23.08.2007).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ParBold"/>
        <w:rPr>
          <w:szCs w:val="24"/>
        </w:rPr>
      </w:pPr>
      <w:r>
        <w:rPr>
          <w:szCs w:val="24"/>
        </w:rPr>
        <w:t>Орлова Наталья Борисовна</w:t>
      </w:r>
    </w:p>
    <w:p>
      <w:pPr>
        <w:pStyle w:val="VSPar2"/>
        <w:rPr>
          <w:szCs w:val="24"/>
          <w:lang w:val="ru-RU"/>
        </w:rPr>
      </w:pPr>
      <w:r>
        <w:rPr>
          <w:szCs w:val="24"/>
          <w:lang w:val="ru-RU"/>
        </w:rPr>
        <w:t>специалист группы публикационной активности УКНИ СибГУТИ (630102, Новосибирск, ул. Кирова, 86), [НГТУ, 630073, г. Новосибирск, пр. К. Маркса, 20]</w:t>
      </w:r>
      <w:r>
        <w:rPr>
          <w:rStyle w:val="Style16"/>
          <w:szCs w:val="24"/>
        </w:rPr>
        <w:footnoteReference w:id="3"/>
      </w:r>
      <w:r>
        <w:rPr>
          <w:szCs w:val="24"/>
          <w:lang w:val="ru-RU"/>
        </w:rPr>
        <w:t xml:space="preserve">  тел. (383) 269-83-81, </w:t>
      </w:r>
      <w:r>
        <w:rPr>
          <w:szCs w:val="24"/>
        </w:rPr>
        <w:t>e</w:t>
      </w:r>
      <w:r>
        <w:rPr>
          <w:szCs w:val="24"/>
          <w:lang w:val="ru-RU"/>
        </w:rPr>
        <w:t>-</w:t>
      </w:r>
      <w:r>
        <w:rPr>
          <w:szCs w:val="24"/>
        </w:rPr>
        <w:t>mail</w:t>
      </w:r>
      <w:r>
        <w:rPr>
          <w:szCs w:val="24"/>
          <w:lang w:val="ru-RU"/>
        </w:rPr>
        <w:t xml:space="preserve">: </w:t>
      </w:r>
      <w:r>
        <w:rPr>
          <w:i/>
          <w:szCs w:val="24"/>
        </w:rPr>
        <w:t>bnb</w:t>
      </w:r>
      <w:r>
        <w:rPr>
          <w:i/>
          <w:szCs w:val="24"/>
          <w:lang w:val="ru-RU"/>
        </w:rPr>
        <w:t>@</w:t>
      </w:r>
      <w:r>
        <w:rPr>
          <w:i/>
          <w:szCs w:val="24"/>
        </w:rPr>
        <w:t>list</w:t>
      </w:r>
      <w:r>
        <w:rPr>
          <w:i/>
          <w:szCs w:val="24"/>
          <w:lang w:val="ru-RU"/>
        </w:rPr>
        <w:t>.</w:t>
      </w:r>
      <w:r>
        <w:rPr>
          <w:i/>
          <w:szCs w:val="24"/>
        </w:rPr>
        <w:t>ru</w:t>
      </w:r>
      <w:r>
        <w:rPr>
          <w:i/>
          <w:szCs w:val="24"/>
          <w:lang w:val="ru-RU"/>
        </w:rPr>
        <w:t>.</w:t>
      </w:r>
    </w:p>
    <w:p>
      <w:pPr>
        <w:pStyle w:val="VSParBold"/>
        <w:rPr>
          <w:szCs w:val="24"/>
        </w:rPr>
      </w:pPr>
      <w:r>
        <w:rPr>
          <w:szCs w:val="24"/>
        </w:rPr>
      </w:r>
    </w:p>
    <w:p>
      <w:pPr>
        <w:pStyle w:val="VSParBold"/>
        <w:rPr>
          <w:szCs w:val="24"/>
        </w:rPr>
      </w:pPr>
      <w:r>
        <w:rPr>
          <w:szCs w:val="24"/>
        </w:rPr>
        <w:t>Балабан Ирина Вячеславовна</w:t>
      </w:r>
    </w:p>
    <w:p>
      <w:pPr>
        <w:pStyle w:val="VSPar2"/>
        <w:rPr>
          <w:szCs w:val="24"/>
        </w:rPr>
      </w:pPr>
      <w:r>
        <w:rPr>
          <w:szCs w:val="24"/>
          <w:lang w:val="ru-RU"/>
        </w:rPr>
        <w:t xml:space="preserve">ведущий специалист группы публикационной активности УКНИ СибГУТИ (630102, </w:t>
        <w:br/>
        <w:t xml:space="preserve">Новосибирск, ул. </w:t>
      </w:r>
      <w:r>
        <w:rPr>
          <w:szCs w:val="24"/>
        </w:rPr>
        <w:t xml:space="preserve">Кирова, 86), тел. (383) 269-83-81, e-mail: </w:t>
      </w:r>
      <w:r>
        <w:rPr>
          <w:i/>
          <w:szCs w:val="24"/>
        </w:rPr>
        <w:t>aepetrova@sibguti.ru.</w:t>
      </w:r>
    </w:p>
    <w:p>
      <w:pPr>
        <w:pStyle w:val="VSAbstract"/>
        <w:rPr>
          <w:b/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" w:right="566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Orlova N. B., Balaban I.V. </w:t>
      </w:r>
    </w:p>
    <w:p>
      <w:pPr>
        <w:pStyle w:val="Normal"/>
        <w:ind w:left="567" w:right="566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67" w:right="566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Preparation and design text gude for conferences of </w:t>
      </w:r>
      <w:r>
        <w:rPr>
          <w:b/>
          <w:color w:val="333333"/>
          <w:sz w:val="24"/>
          <w:szCs w:val="24"/>
          <w:shd w:fill="FFFFFF" w:val="clear"/>
        </w:rPr>
        <w:t>SibSUTIS</w:t>
      </w:r>
      <w:r>
        <w:rPr>
          <w:b/>
          <w:sz w:val="24"/>
          <w:szCs w:val="24"/>
        </w:rPr>
        <w:t xml:space="preserve"> books of articles </w:t>
      </w:r>
    </w:p>
    <w:p>
      <w:pPr>
        <w:pStyle w:val="Normal"/>
        <w:ind w:left="567" w:right="56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" w:right="566" w:hanging="0"/>
        <w:jc w:val="both"/>
        <w:rPr>
          <w:sz w:val="24"/>
          <w:szCs w:val="24"/>
        </w:rPr>
      </w:pPr>
      <w:r>
        <w:rPr>
          <w:sz w:val="24"/>
          <w:szCs w:val="24"/>
        </w:rPr>
        <w:t>This text is instructions for preparing and formatting articles for conference collections. Can be used by authors as a design template. The abstract is a summary of the results of the work. References to literature, changes in font, and any highlighting of text are not allowed in the abstract.</w:t>
      </w:r>
    </w:p>
    <w:p>
      <w:pPr>
        <w:pStyle w:val="Normal"/>
        <w:ind w:left="567" w:right="566"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left="567" w:right="566" w:hanging="0"/>
        <w:rPr>
          <w:sz w:val="24"/>
          <w:szCs w:val="24"/>
        </w:rPr>
      </w:pPr>
      <w:r>
        <w:rPr>
          <w:i/>
          <w:sz w:val="24"/>
          <w:szCs w:val="24"/>
        </w:rPr>
        <w:t>Keywords</w:t>
      </w:r>
      <w:r>
        <w:rPr>
          <w:sz w:val="24"/>
          <w:szCs w:val="24"/>
        </w:rPr>
        <w:t>: rules for authors, styles, formatting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6"/>
        <w:rPr>
          <w:lang w:val="ru-RU"/>
        </w:rPr>
      </w:pPr>
      <w:r>
        <w:rPr>
          <w:rStyle w:val="Style15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УДК – Универсальная десятичная классификация.</w:t>
      </w:r>
    </w:p>
  </w:footnote>
  <w:footnote w:id="3">
    <w:p>
      <w:pPr>
        <w:pStyle w:val="Style26"/>
        <w:rPr>
          <w:lang w:val="ru-RU"/>
        </w:rPr>
      </w:pPr>
      <w:r>
        <w:rPr>
          <w:rStyle w:val="Style15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для двойной аффилиации, в финальной версии сноску убрать</w:t>
      </w:r>
    </w:p>
  </w:footnote>
</w:footnotes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129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semiHidden/>
    <w:qFormat/>
    <w:rsid w:val="0017129b"/>
    <w:rPr>
      <w:rFonts w:ascii="Times New Roman" w:hAnsi="Times New Roman" w:eastAsia="Times New Roman" w:cs="Times New Roman"/>
      <w:sz w:val="20"/>
      <w:szCs w:val="16"/>
      <w:lang w:val="en-US"/>
    </w:rPr>
  </w:style>
  <w:style w:type="character" w:styleId="Style15" w:customStyle="1">
    <w:name w:val="Символ сноски"/>
    <w:semiHidden/>
    <w:qFormat/>
    <w:rsid w:val="0017129b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VSPar" w:customStyle="1">
    <w:name w:val="VS Par Знак Знак"/>
    <w:link w:val="VSPar2"/>
    <w:qFormat/>
    <w:rsid w:val="0017129b"/>
    <w:rPr>
      <w:rFonts w:ascii="Times New Roman" w:hAnsi="Times New Roman" w:eastAsia="Times New Roman" w:cs="Times New Roman"/>
      <w:sz w:val="24"/>
      <w:szCs w:val="20"/>
    </w:rPr>
  </w:style>
  <w:style w:type="character" w:styleId="VSText" w:customStyle="1">
    <w:name w:val="VS Text Знак Знак"/>
    <w:link w:val="VSText1"/>
    <w:qFormat/>
    <w:rsid w:val="0017129b"/>
    <w:rPr>
      <w:rFonts w:ascii="Times New Roman" w:hAnsi="Times New Roman" w:eastAsia="Times New Roman" w:cs="Times New Roman"/>
      <w:sz w:val="24"/>
      <w:szCs w:val="20"/>
    </w:rPr>
  </w:style>
  <w:style w:type="character" w:styleId="VSURL" w:customStyle="1">
    <w:name w:val="VS URL Знак"/>
    <w:link w:val="VSURL1"/>
    <w:qFormat/>
    <w:rsid w:val="0017129b"/>
    <w:rPr>
      <w:rFonts w:ascii="Courier New" w:hAnsi="Courier New" w:eastAsia="Times New Roman" w:cs="Times New Roman"/>
      <w:szCs w:val="20"/>
    </w:rPr>
  </w:style>
  <w:style w:type="character" w:styleId="Style17">
    <w:name w:val="Hyperlink"/>
    <w:basedOn w:val="DefaultParagraphFont"/>
    <w:uiPriority w:val="99"/>
    <w:unhideWhenUsed/>
    <w:rsid w:val="00e737d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e85e34"/>
    <w:rPr>
      <w:color w:val="808080"/>
    </w:rPr>
  </w:style>
  <w:style w:type="character" w:styleId="VSPar1" w:customStyle="1">
    <w:name w:val="Стиль VS Par + разреженный на  1 пт Знак"/>
    <w:link w:val="VSPar11"/>
    <w:qFormat/>
    <w:rsid w:val="000b7735"/>
    <w:rPr>
      <w:rFonts w:ascii="Times New Roman" w:hAnsi="Times New Roman" w:eastAsia="Times New Roman" w:cs="Times New Roman"/>
      <w:spacing w:val="20"/>
      <w:sz w:val="24"/>
      <w:szCs w:val="20"/>
    </w:rPr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Style19">
    <w:name w:val="Endnote Reference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VSText1" w:customStyle="1">
    <w:name w:val="VS Text"/>
    <w:basedOn w:val="Normal"/>
    <w:next w:val="VSPar2"/>
    <w:link w:val="VSText"/>
    <w:qFormat/>
    <w:rsid w:val="0017129b"/>
    <w:pPr>
      <w:tabs>
        <w:tab w:val="clear" w:pos="708"/>
        <w:tab w:val="right" w:pos="397" w:leader="none"/>
        <w:tab w:val="right" w:pos="9639" w:leader="none"/>
      </w:tabs>
      <w:jc w:val="both"/>
    </w:pPr>
    <w:rPr>
      <w:sz w:val="24"/>
    </w:rPr>
  </w:style>
  <w:style w:type="paragraph" w:styleId="Style26">
    <w:name w:val="Footnote Text"/>
    <w:basedOn w:val="Normal"/>
    <w:link w:val="Style14"/>
    <w:semiHidden/>
    <w:rsid w:val="0017129b"/>
    <w:pPr>
      <w:ind w:firstLine="397"/>
      <w:jc w:val="both"/>
    </w:pPr>
    <w:rPr>
      <w:szCs w:val="16"/>
    </w:rPr>
  </w:style>
  <w:style w:type="paragraph" w:styleId="VSTitle" w:customStyle="1">
    <w:name w:val="VS Title"/>
    <w:basedOn w:val="Normal"/>
    <w:next w:val="VSAuthors"/>
    <w:qFormat/>
    <w:rsid w:val="0017129b"/>
    <w:pPr>
      <w:jc w:val="center"/>
    </w:pPr>
    <w:rPr>
      <w:b/>
      <w:bCs/>
      <w:sz w:val="40"/>
    </w:rPr>
  </w:style>
  <w:style w:type="paragraph" w:styleId="VSAuthors" w:customStyle="1">
    <w:name w:val="VS Authors"/>
    <w:basedOn w:val="Normal"/>
    <w:next w:val="VSAbstract"/>
    <w:qFormat/>
    <w:rsid w:val="0017129b"/>
    <w:pPr>
      <w:jc w:val="center"/>
    </w:pPr>
    <w:rPr>
      <w:sz w:val="28"/>
    </w:rPr>
  </w:style>
  <w:style w:type="paragraph" w:styleId="VSAbstract" w:customStyle="1">
    <w:name w:val="VS Abstract"/>
    <w:basedOn w:val="Normal"/>
    <w:qFormat/>
    <w:rsid w:val="0017129b"/>
    <w:pPr>
      <w:ind w:left="567" w:right="566" w:hanging="0"/>
      <w:jc w:val="both"/>
    </w:pPr>
    <w:rPr/>
  </w:style>
  <w:style w:type="paragraph" w:styleId="VSSection" w:customStyle="1">
    <w:name w:val="VS Section"/>
    <w:basedOn w:val="Normal"/>
    <w:qFormat/>
    <w:rsid w:val="0017129b"/>
    <w:pPr>
      <w:jc w:val="both"/>
    </w:pPr>
    <w:rPr>
      <w:b/>
      <w:bCs/>
      <w:sz w:val="28"/>
    </w:rPr>
  </w:style>
  <w:style w:type="paragraph" w:styleId="VSPar2" w:customStyle="1">
    <w:name w:val="VS Par"/>
    <w:basedOn w:val="Normal"/>
    <w:link w:val="VSPar"/>
    <w:qFormat/>
    <w:rsid w:val="0017129b"/>
    <w:pPr>
      <w:tabs>
        <w:tab w:val="clear" w:pos="708"/>
        <w:tab w:val="left" w:pos="397" w:leader="none"/>
        <w:tab w:val="right" w:pos="9639" w:leader="none"/>
      </w:tabs>
      <w:ind w:firstLine="397"/>
      <w:jc w:val="both"/>
    </w:pPr>
    <w:rPr>
      <w:sz w:val="24"/>
    </w:rPr>
  </w:style>
  <w:style w:type="paragraph" w:styleId="VSURL1" w:customStyle="1">
    <w:name w:val="VS URL"/>
    <w:basedOn w:val="VSPar2"/>
    <w:link w:val="VSURL"/>
    <w:qFormat/>
    <w:rsid w:val="0017129b"/>
    <w:pPr/>
    <w:rPr>
      <w:rFonts w:ascii="Courier New" w:hAnsi="Courier New"/>
      <w:sz w:val="22"/>
    </w:rPr>
  </w:style>
  <w:style w:type="paragraph" w:styleId="VSTableCaption" w:customStyle="1">
    <w:name w:val="VS Table Caption"/>
    <w:basedOn w:val="Normal"/>
    <w:qFormat/>
    <w:rsid w:val="009f6ab9"/>
    <w:pPr>
      <w:jc w:val="center"/>
    </w:pPr>
    <w:rPr>
      <w:sz w:val="24"/>
    </w:rPr>
  </w:style>
  <w:style w:type="paragraph" w:styleId="VSSubsection" w:customStyle="1">
    <w:name w:val="VS Subsection"/>
    <w:basedOn w:val="Normal"/>
    <w:qFormat/>
    <w:rsid w:val="003574a3"/>
    <w:pPr>
      <w:jc w:val="both"/>
    </w:pPr>
    <w:rPr>
      <w:b/>
      <w:bCs/>
      <w:sz w:val="24"/>
    </w:rPr>
  </w:style>
  <w:style w:type="paragraph" w:styleId="VSEq" w:customStyle="1">
    <w:name w:val="VS Eq"/>
    <w:basedOn w:val="VSText1"/>
    <w:next w:val="VSText1"/>
    <w:qFormat/>
    <w:rsid w:val="000b7735"/>
    <w:pPr>
      <w:tabs>
        <w:tab w:val="clear" w:pos="397"/>
        <w:tab w:val="center" w:pos="4820" w:leader="none"/>
        <w:tab w:val="right" w:pos="9639" w:leader="none"/>
      </w:tabs>
      <w:spacing w:before="120" w:after="120"/>
      <w:jc w:val="center"/>
    </w:pPr>
    <w:rPr>
      <w:lang w:val="ru-RU"/>
    </w:rPr>
  </w:style>
  <w:style w:type="paragraph" w:styleId="VSPar11" w:customStyle="1">
    <w:name w:val="Стиль VS Par + разреженный на  1 пт"/>
    <w:basedOn w:val="VSPar2"/>
    <w:link w:val="VSPar1"/>
    <w:qFormat/>
    <w:rsid w:val="000b7735"/>
    <w:pPr/>
    <w:rPr>
      <w:spacing w:val="20"/>
      <w:lang w:val="ru-RU"/>
    </w:rPr>
  </w:style>
  <w:style w:type="paragraph" w:styleId="VSParBold" w:customStyle="1">
    <w:name w:val="VS Par Bold"/>
    <w:basedOn w:val="Normal"/>
    <w:qFormat/>
    <w:rsid w:val="00885139"/>
    <w:pPr>
      <w:tabs>
        <w:tab w:val="clear" w:pos="708"/>
        <w:tab w:val="right" w:pos="397" w:leader="none"/>
        <w:tab w:val="right" w:pos="9639" w:leader="none"/>
      </w:tabs>
      <w:ind w:firstLine="397"/>
      <w:jc w:val="both"/>
    </w:pPr>
    <w:rPr>
      <w:b/>
      <w:bCs/>
      <w:sz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VSRef" w:customStyle="1">
    <w:name w:val="VS Ref"/>
    <w:qFormat/>
    <w:rsid w:val="0080457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LibreOffice/7.4.7.2$Linux_X86_64 LibreOffice_project/40$Build-2</Application>
  <AppVersion>15.0000</AppVersion>
  <Pages>4</Pages>
  <Words>1252</Words>
  <Characters>7674</Characters>
  <CharactersWithSpaces>8897</CharactersWithSpaces>
  <Paragraphs>68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2024-02-29T08:19:00Z</dcterms:created>
  <dc:creator>Natalia Orlova</dc:creator>
  <dc:description/>
  <dc:language>ru-RU</dc:language>
  <cp:lastModifiedBy/>
  <dcterms:modified xsi:type="dcterms:W3CDTF">2024-03-18T16:01:13Z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