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A9" w:rsidRDefault="004550A9" w:rsidP="004550A9">
      <w:pPr>
        <w:ind w:firstLine="567"/>
        <w:contextualSpacing/>
        <w:jc w:val="right"/>
      </w:pPr>
      <w:r>
        <w:t>Приложение 1</w:t>
      </w:r>
    </w:p>
    <w:p w:rsidR="004550A9" w:rsidRDefault="004550A9" w:rsidP="004550A9">
      <w:pPr>
        <w:ind w:firstLine="567"/>
        <w:contextualSpacing/>
        <w:jc w:val="right"/>
      </w:pPr>
    </w:p>
    <w:p w:rsidR="004550A9" w:rsidRDefault="004550A9" w:rsidP="004550A9">
      <w:pPr>
        <w:ind w:firstLine="567"/>
        <w:contextualSpacing/>
        <w:jc w:val="center"/>
        <w:rPr>
          <w:b/>
        </w:rPr>
      </w:pPr>
      <w:r>
        <w:rPr>
          <w:b/>
        </w:rPr>
        <w:t>Правила</w:t>
      </w:r>
      <w:r w:rsidRPr="00AB2B04">
        <w:rPr>
          <w:b/>
        </w:rPr>
        <w:t xml:space="preserve"> оформлени</w:t>
      </w:r>
      <w:r>
        <w:rPr>
          <w:b/>
        </w:rPr>
        <w:t>я</w:t>
      </w:r>
      <w:r w:rsidRPr="00AB2B04">
        <w:rPr>
          <w:b/>
        </w:rPr>
        <w:t xml:space="preserve"> тезисов</w:t>
      </w:r>
    </w:p>
    <w:p w:rsidR="004550A9" w:rsidRDefault="004550A9" w:rsidP="004550A9">
      <w:pPr>
        <w:ind w:firstLine="567"/>
        <w:contextualSpacing/>
        <w:jc w:val="center"/>
        <w:rPr>
          <w:b/>
        </w:rPr>
      </w:pPr>
    </w:p>
    <w:p w:rsidR="004550A9" w:rsidRPr="00853F3C" w:rsidRDefault="004550A9" w:rsidP="004550A9">
      <w:pPr>
        <w:pStyle w:val="a5"/>
        <w:spacing w:before="0" w:after="0" w:line="240" w:lineRule="auto"/>
        <w:jc w:val="both"/>
      </w:pPr>
      <w:r w:rsidRPr="00853F3C">
        <w:t>При участии в конференции с публикацией, участник предоставляет материалы работы, оформленные в соответствии с требованиями журнала «Научный медицинский вестник Югры»</w:t>
      </w:r>
      <w:r>
        <w:t xml:space="preserve"> </w:t>
      </w:r>
      <w:r w:rsidRPr="00853F3C">
        <w:rPr>
          <w:sz w:val="22"/>
          <w:szCs w:val="22"/>
        </w:rPr>
        <w:t>(</w:t>
      </w:r>
      <w:r w:rsidRPr="00853F3C">
        <w:t>https://hmgma.ru/science/bulletin/)</w:t>
      </w:r>
      <w:r w:rsidRPr="00853F3C">
        <w:rPr>
          <w:color w:val="000000"/>
        </w:rPr>
        <w:t>.</w:t>
      </w:r>
    </w:p>
    <w:p w:rsidR="004550A9" w:rsidRDefault="004550A9" w:rsidP="004550A9">
      <w:pPr>
        <w:pStyle w:val="a5"/>
        <w:spacing w:before="0" w:after="0" w:line="240" w:lineRule="auto"/>
        <w:jc w:val="both"/>
      </w:pPr>
      <w:r w:rsidRPr="00853F3C">
        <w:t xml:space="preserve">По результатам конференции академия издает сборники трудов конференции. В сборник включаются тезисы докладов объемом не более двух страниц форматированного листа сборника. </w:t>
      </w:r>
    </w:p>
    <w:p w:rsidR="004550A9" w:rsidRPr="00A0455E" w:rsidRDefault="004550A9" w:rsidP="004550A9">
      <w:pPr>
        <w:pStyle w:val="a5"/>
        <w:spacing w:before="0" w:after="0" w:line="240" w:lineRule="auto"/>
        <w:jc w:val="both"/>
        <w:rPr>
          <w:b/>
        </w:rPr>
      </w:pPr>
    </w:p>
    <w:p w:rsidR="004550A9" w:rsidRPr="00A0455E" w:rsidRDefault="004550A9" w:rsidP="004550A9">
      <w:pPr>
        <w:pStyle w:val="a5"/>
        <w:spacing w:before="0" w:after="0"/>
        <w:jc w:val="both"/>
        <w:rPr>
          <w:b/>
        </w:rPr>
      </w:pPr>
      <w:r w:rsidRPr="00A0455E">
        <w:rPr>
          <w:b/>
        </w:rPr>
        <w:t>Требования к оформлению трудов:</w:t>
      </w:r>
    </w:p>
    <w:p w:rsidR="004550A9" w:rsidRPr="0066492B" w:rsidRDefault="004550A9" w:rsidP="004550A9">
      <w:pPr>
        <w:ind w:firstLine="567"/>
        <w:jc w:val="both"/>
      </w:pPr>
      <w:r w:rsidRPr="0066492B">
        <w:t>1.1. Файл тезисов прикрепляется к форме регистрации.</w:t>
      </w:r>
    </w:p>
    <w:p w:rsidR="004550A9" w:rsidRPr="0066492B" w:rsidRDefault="004550A9" w:rsidP="004550A9">
      <w:pPr>
        <w:ind w:firstLine="567"/>
        <w:jc w:val="both"/>
      </w:pPr>
      <w:r w:rsidRPr="0066492B">
        <w:t xml:space="preserve">1.2. КАК НАЗВАТЬ ФАЙЛ. Рукопись направляется в виде файла текстового редактора MS WORD, озаглавленного </w:t>
      </w:r>
      <w:r w:rsidRPr="0066492B">
        <w:rPr>
          <w:i/>
        </w:rPr>
        <w:t>Фамилия.doc</w:t>
      </w:r>
      <w:r w:rsidRPr="0066492B">
        <w:rPr>
          <w:i/>
          <w:lang w:val="en-US"/>
        </w:rPr>
        <w:t>x</w:t>
      </w:r>
      <w:r w:rsidRPr="0066492B">
        <w:t xml:space="preserve">. </w:t>
      </w:r>
    </w:p>
    <w:p w:rsidR="004550A9" w:rsidRPr="0066492B" w:rsidRDefault="004550A9" w:rsidP="004550A9">
      <w:pPr>
        <w:ind w:firstLine="567"/>
        <w:jc w:val="both"/>
      </w:pPr>
      <w:r w:rsidRPr="0066492B">
        <w:t xml:space="preserve">1.3. ОБЪЕМ ПОЛНОГО ТЕКСТА РУКОПИСИ. Следует придерживаться общего объема тезисов – не более </w:t>
      </w:r>
      <w:r>
        <w:t>2</w:t>
      </w:r>
      <w:r w:rsidRPr="0066492B">
        <w:t xml:space="preserve"> страниц. </w:t>
      </w:r>
    </w:p>
    <w:p w:rsidR="004550A9" w:rsidRPr="0066492B" w:rsidRDefault="004550A9" w:rsidP="004550A9">
      <w:pPr>
        <w:ind w:firstLine="567"/>
        <w:jc w:val="both"/>
      </w:pPr>
      <w:r w:rsidRPr="0066492B">
        <w:t xml:space="preserve">1.4. ФОРМАТ ТЕКСТА РУКОПИСИ. Формат страницы – А4. Поля: левое – 30 мм, правое – 15 мм, верхнее и нижнее – по 20 мм. </w:t>
      </w:r>
    </w:p>
    <w:p w:rsidR="004550A9" w:rsidRPr="0066492B" w:rsidRDefault="004550A9" w:rsidP="004550A9">
      <w:pPr>
        <w:ind w:firstLine="567"/>
        <w:jc w:val="both"/>
      </w:pPr>
      <w:r w:rsidRPr="0066492B">
        <w:t xml:space="preserve">Формат абзаца. Межстрочный интервал одинарный. Интервалы перед и после абзаца – 0 пт. Абзацный отступ 1 см. Абзацный отступ задается с помощью меню Главная – Абзац – Отступы и интервалы – Отступ – первая строка, а не Tab и не пробелами! </w:t>
      </w:r>
    </w:p>
    <w:p w:rsidR="004550A9" w:rsidRPr="0066492B" w:rsidRDefault="004550A9" w:rsidP="004550A9">
      <w:pPr>
        <w:ind w:firstLine="567"/>
        <w:jc w:val="both"/>
      </w:pPr>
      <w:r w:rsidRPr="0066492B">
        <w:t>Форматшрифта</w:t>
      </w:r>
      <w:r w:rsidRPr="00C63399">
        <w:t xml:space="preserve">. </w:t>
      </w:r>
      <w:r w:rsidRPr="0066492B">
        <w:rPr>
          <w:lang w:val="en-US"/>
        </w:rPr>
        <w:t>TimesNewRoman</w:t>
      </w:r>
      <w:r w:rsidRPr="00C63399">
        <w:t xml:space="preserve">. </w:t>
      </w:r>
      <w:r w:rsidRPr="0066492B">
        <w:t>Кегль (размер шрифта) основного текста – 14 пунктов (пт).</w:t>
      </w:r>
    </w:p>
    <w:p w:rsidR="004550A9" w:rsidRPr="0066492B" w:rsidRDefault="004550A9" w:rsidP="004550A9">
      <w:pPr>
        <w:spacing w:before="120"/>
        <w:ind w:firstLine="567"/>
        <w:jc w:val="both"/>
      </w:pPr>
      <w:r w:rsidRPr="0066492B">
        <w:t>2. СТРУКТУРА РУКОПИСИ</w:t>
      </w:r>
    </w:p>
    <w:p w:rsidR="004550A9" w:rsidRPr="0066492B" w:rsidRDefault="004550A9" w:rsidP="004550A9">
      <w:pPr>
        <w:ind w:firstLine="567"/>
        <w:jc w:val="both"/>
      </w:pPr>
      <w:r w:rsidRPr="0066492B">
        <w:t xml:space="preserve">На первой строке пишется УДК. Выравнивание по левому краю, без абзацного отступа. </w:t>
      </w:r>
    </w:p>
    <w:p w:rsidR="004550A9" w:rsidRPr="0066492B" w:rsidRDefault="004550A9" w:rsidP="004550A9">
      <w:pPr>
        <w:ind w:firstLine="567"/>
        <w:jc w:val="both"/>
      </w:pPr>
      <w:r w:rsidRPr="0066492B">
        <w:t xml:space="preserve">Далее следует текст рукописи с соответствующими разделами. </w:t>
      </w:r>
    </w:p>
    <w:p w:rsidR="004550A9" w:rsidRPr="0066492B" w:rsidRDefault="004550A9" w:rsidP="004550A9">
      <w:pPr>
        <w:ind w:firstLine="567"/>
        <w:jc w:val="both"/>
      </w:pPr>
      <w:r w:rsidRPr="0066492B">
        <w:t xml:space="preserve">На второй строке, при необходимости – на нескольких строках, указываются полностью (это необходимо для размещения статей на сайте </w:t>
      </w:r>
      <w:hyperlink r:id="rId4" w:history="1">
        <w:r w:rsidRPr="0066492B">
          <w:rPr>
            <w:rStyle w:val="a4"/>
          </w:rPr>
          <w:t>http://elibrary.ru/</w:t>
        </w:r>
      </w:hyperlink>
      <w:r w:rsidRPr="0066492B">
        <w:t>): фамилия, имя, отчество автора (авторов). Полужирный курсив, выравнивание по центру, без абзацного отступа. Если места работы авторов различаются, то фамилия каждого автора помечается цифровым верхним индексом и такие же индексы предшествуют перечисляемым далее местам работы соответствующих авторов.</w:t>
      </w:r>
    </w:p>
    <w:p w:rsidR="004550A9" w:rsidRPr="0066492B" w:rsidRDefault="004550A9" w:rsidP="004550A9">
      <w:pPr>
        <w:ind w:firstLine="567"/>
        <w:jc w:val="both"/>
      </w:pPr>
      <w:r w:rsidRPr="0066492B">
        <w:t>На следующей строке, при необходимости – на нескольких строках, указывается название статьи. Все прописные буквы, полужирный шрифт, выравнивание по центру, без абзацного отступа.</w:t>
      </w:r>
    </w:p>
    <w:p w:rsidR="004550A9" w:rsidRPr="0066492B" w:rsidRDefault="004550A9" w:rsidP="004550A9">
      <w:pPr>
        <w:ind w:firstLine="567"/>
        <w:jc w:val="both"/>
      </w:pPr>
      <w:r w:rsidRPr="0066492B">
        <w:t xml:space="preserve">Следующая строка – пустая. </w:t>
      </w:r>
    </w:p>
    <w:p w:rsidR="004550A9" w:rsidRPr="0066492B" w:rsidRDefault="004550A9" w:rsidP="004550A9">
      <w:pPr>
        <w:ind w:firstLine="567"/>
        <w:jc w:val="both"/>
      </w:pPr>
      <w:r w:rsidRPr="0066492B">
        <w:t>На следующей строке пишется место работы</w:t>
      </w:r>
      <w:r>
        <w:t>/учебы</w:t>
      </w:r>
      <w:r w:rsidRPr="0066492B">
        <w:t xml:space="preserve"> авторов. Размер шрифта 12 пт., курсив, выравнивание по левому краю, без абзацного отступа. Если места работы авторов различаются, то фамилия каждого автора помечается цифровым верхним индексом и такие же индексы предшествуют перечисляемым далее местам работы соответствующих авторов. После названия организации следует через запятую указать населенный пункт, где организация расположена, если это не следует из ее названия (иначе говоря, можно, например, не указывать «г. Москва» если название организации «Московский </w:t>
      </w:r>
      <w:r w:rsidRPr="0066492B">
        <w:lastRenderedPageBreak/>
        <w:t>государственный университет им. М.В. Ломоносова» и он действительно размещен в г. Москва).</w:t>
      </w:r>
    </w:p>
    <w:p w:rsidR="004550A9" w:rsidRPr="0066492B" w:rsidRDefault="004550A9" w:rsidP="004550A9">
      <w:pPr>
        <w:ind w:firstLine="567"/>
        <w:jc w:val="both"/>
      </w:pPr>
      <w:r w:rsidRPr="0066492B">
        <w:t xml:space="preserve">Следующая строка – пустая. </w:t>
      </w:r>
    </w:p>
    <w:p w:rsidR="004550A9" w:rsidRPr="0066492B" w:rsidRDefault="004550A9" w:rsidP="004550A9">
      <w:pPr>
        <w:ind w:firstLine="567"/>
        <w:jc w:val="both"/>
      </w:pPr>
      <w:r w:rsidRPr="0066492B">
        <w:t xml:space="preserve">На следующей строке пишется контактный адрес электронной почты «автора для корреспонденции» по шаблону: </w:t>
      </w:r>
      <w:r w:rsidRPr="0066492B">
        <w:rPr>
          <w:lang w:val="en-US"/>
        </w:rPr>
        <w:t>e</w:t>
      </w:r>
      <w:r w:rsidRPr="0066492B">
        <w:t xml:space="preserve">-mail: *****@****.**. Размер шрифта 12 пт., выравнивание по </w:t>
      </w:r>
      <w:r>
        <w:t>середине</w:t>
      </w:r>
      <w:r w:rsidRPr="0066492B">
        <w:t>, без абзацного отступа.</w:t>
      </w:r>
    </w:p>
    <w:p w:rsidR="004550A9" w:rsidRPr="0066492B" w:rsidRDefault="004550A9" w:rsidP="004550A9">
      <w:pPr>
        <w:ind w:firstLine="567"/>
        <w:jc w:val="both"/>
      </w:pPr>
      <w:r w:rsidRPr="0066492B">
        <w:t xml:space="preserve">Следующая строка – пустая. </w:t>
      </w:r>
    </w:p>
    <w:p w:rsidR="004550A9" w:rsidRPr="0066492B" w:rsidRDefault="004550A9" w:rsidP="004550A9">
      <w:pPr>
        <w:ind w:firstLine="567"/>
        <w:jc w:val="both"/>
      </w:pPr>
      <w:r w:rsidRPr="0066492B">
        <w:t xml:space="preserve">На следующей строке помещается «Аннотация», объемом </w:t>
      </w:r>
      <w:r>
        <w:t>до</w:t>
      </w:r>
      <w:r w:rsidRPr="0066492B">
        <w:t xml:space="preserve"> 10 строк. Слово «Аннотация» выделяется, размер шрифта 10 пт., полужирный курсив. Остальной текст аннотации – размер шрифта 10 пт., курсив.</w:t>
      </w:r>
    </w:p>
    <w:p w:rsidR="004550A9" w:rsidRPr="0066492B" w:rsidRDefault="004550A9" w:rsidP="004550A9">
      <w:pPr>
        <w:ind w:firstLine="567"/>
        <w:jc w:val="both"/>
      </w:pPr>
      <w:r w:rsidRPr="0066492B">
        <w:t xml:space="preserve">Следующая строка (после «Аннотация») – пустая. </w:t>
      </w:r>
    </w:p>
    <w:p w:rsidR="004550A9" w:rsidRPr="0066492B" w:rsidRDefault="004550A9" w:rsidP="004550A9">
      <w:pPr>
        <w:ind w:firstLine="567"/>
        <w:jc w:val="both"/>
      </w:pPr>
      <w:r w:rsidRPr="0066492B">
        <w:t xml:space="preserve">На следующей строке помещают «Ключевые слова:» размер шрифта 10 пт., полужирный курсив. Затем в этой же строке перечисляются через запятую ключевые слова статьи, размер шрифта 10 пт., курсив. </w:t>
      </w:r>
    </w:p>
    <w:p w:rsidR="004550A9" w:rsidRPr="0066492B" w:rsidRDefault="004550A9" w:rsidP="004550A9">
      <w:pPr>
        <w:ind w:firstLine="567"/>
        <w:jc w:val="both"/>
      </w:pPr>
      <w:r w:rsidRPr="0066492B">
        <w:t xml:space="preserve">Следующая строка – пустая. </w:t>
      </w:r>
    </w:p>
    <w:p w:rsidR="004550A9" w:rsidRPr="0066492B" w:rsidRDefault="004550A9" w:rsidP="004550A9">
      <w:pPr>
        <w:ind w:firstLine="567"/>
        <w:jc w:val="both"/>
      </w:pPr>
      <w:r w:rsidRPr="0066492B">
        <w:t>Следующая строка – на английском языке в английской транскрипции пишутся фамилии, имена, отчества авторов. Полужирный курсив, выравнивание по центру, без абзацного отступа. Если места работы авторов различаются, то фамилия каждого автора помечается цифровым верхним индексом и такие же индексы предшествуют перечисляемым далее местам работы соответствующих авторов.</w:t>
      </w:r>
    </w:p>
    <w:p w:rsidR="004550A9" w:rsidRPr="0066492B" w:rsidRDefault="004550A9" w:rsidP="004550A9">
      <w:pPr>
        <w:ind w:firstLine="567"/>
        <w:jc w:val="both"/>
      </w:pPr>
      <w:r w:rsidRPr="0066492B">
        <w:t>На следующей строке пишется название статьи на английском языке на одной строке, при необходимости – на нескольких строках. Все прописные буквы, полужирный шрифт, выравнивание по центру, без абзацного отступа.</w:t>
      </w:r>
    </w:p>
    <w:p w:rsidR="004550A9" w:rsidRPr="0066492B" w:rsidRDefault="004550A9" w:rsidP="004550A9">
      <w:pPr>
        <w:ind w:firstLine="567"/>
        <w:jc w:val="both"/>
      </w:pPr>
      <w:r w:rsidRPr="0066492B">
        <w:t xml:space="preserve">Следующая строка – пустая. </w:t>
      </w:r>
    </w:p>
    <w:p w:rsidR="004550A9" w:rsidRPr="0066492B" w:rsidRDefault="004550A9" w:rsidP="004550A9">
      <w:pPr>
        <w:ind w:firstLine="567"/>
        <w:jc w:val="both"/>
      </w:pPr>
      <w:r w:rsidRPr="0066492B">
        <w:t xml:space="preserve">На следующей строке на английском языке пишется место работы авторов, указывается название организации и город, в котором она находится. Размер шрифта 12 пт., курсив, с выравниванием по левому краю, без абзацного отступа. </w:t>
      </w:r>
    </w:p>
    <w:p w:rsidR="004550A9" w:rsidRPr="0066492B" w:rsidRDefault="004550A9" w:rsidP="004550A9">
      <w:pPr>
        <w:ind w:firstLine="567"/>
        <w:jc w:val="both"/>
      </w:pPr>
      <w:r w:rsidRPr="0066492B">
        <w:t>Следующая строка – пустая.</w:t>
      </w:r>
    </w:p>
    <w:p w:rsidR="004550A9" w:rsidRPr="0066492B" w:rsidRDefault="004550A9" w:rsidP="004550A9">
      <w:pPr>
        <w:ind w:firstLine="567"/>
        <w:jc w:val="both"/>
      </w:pPr>
      <w:r w:rsidRPr="0066492B">
        <w:t xml:space="preserve">На следующей строке помещается контактный адрес электронной почты «автора для корреспонденции» по шаблону: </w:t>
      </w:r>
      <w:r w:rsidRPr="0066492B">
        <w:rPr>
          <w:lang w:val="en-US"/>
        </w:rPr>
        <w:t>e</w:t>
      </w:r>
      <w:r w:rsidRPr="0066492B">
        <w:t xml:space="preserve">-mail: *****@****.**. Размер шрифта 12 пт., выравнивание по </w:t>
      </w:r>
      <w:r>
        <w:t>центру</w:t>
      </w:r>
      <w:r w:rsidRPr="0066492B">
        <w:t>, без абзацного отступа.</w:t>
      </w:r>
    </w:p>
    <w:p w:rsidR="004550A9" w:rsidRPr="0066492B" w:rsidRDefault="004550A9" w:rsidP="004550A9">
      <w:pPr>
        <w:ind w:firstLine="567"/>
        <w:jc w:val="both"/>
      </w:pPr>
      <w:r w:rsidRPr="0066492B">
        <w:t>Следующая строка – пустая.</w:t>
      </w:r>
    </w:p>
    <w:p w:rsidR="004550A9" w:rsidRPr="0066492B" w:rsidRDefault="004550A9" w:rsidP="004550A9">
      <w:pPr>
        <w:ind w:firstLine="567"/>
        <w:jc w:val="both"/>
      </w:pPr>
      <w:r w:rsidRPr="0066492B">
        <w:t>На следующей строке помещается «</w:t>
      </w:r>
      <w:r w:rsidRPr="0066492B">
        <w:rPr>
          <w:lang w:val="en-US"/>
        </w:rPr>
        <w:t>Summary</w:t>
      </w:r>
      <w:r w:rsidRPr="0066492B">
        <w:t>:» (аннотация на английском языке). Слово «</w:t>
      </w:r>
      <w:r w:rsidRPr="0066492B">
        <w:rPr>
          <w:lang w:val="en-US"/>
        </w:rPr>
        <w:t>Summary</w:t>
      </w:r>
      <w:r w:rsidRPr="0066492B">
        <w:t>:» выделяется, размер шрифта 10 пт., полужирный курсив. Остальной текст аннотации на английском языке – размер шрифта 10 пт., курсив.</w:t>
      </w:r>
    </w:p>
    <w:p w:rsidR="004550A9" w:rsidRPr="0066492B" w:rsidRDefault="004550A9" w:rsidP="004550A9">
      <w:pPr>
        <w:ind w:firstLine="567"/>
        <w:jc w:val="both"/>
      </w:pPr>
      <w:r w:rsidRPr="0066492B">
        <w:t>Следующая (после «</w:t>
      </w:r>
      <w:r w:rsidRPr="0066492B">
        <w:rPr>
          <w:lang w:val="en-US"/>
        </w:rPr>
        <w:t>Summary</w:t>
      </w:r>
      <w:r w:rsidRPr="0066492B">
        <w:t xml:space="preserve">:») строка – пустая. </w:t>
      </w:r>
    </w:p>
    <w:p w:rsidR="004550A9" w:rsidRPr="0066492B" w:rsidRDefault="004550A9" w:rsidP="004550A9">
      <w:pPr>
        <w:ind w:firstLine="567"/>
        <w:jc w:val="both"/>
      </w:pPr>
      <w:r w:rsidRPr="0066492B">
        <w:t>На следующей строке помещается «</w:t>
      </w:r>
      <w:r w:rsidRPr="0066492B">
        <w:rPr>
          <w:lang w:val="en-US"/>
        </w:rPr>
        <w:t>Keywords</w:t>
      </w:r>
      <w:r w:rsidRPr="0066492B">
        <w:t>:» (ключевые слова на английском языке). Слово «</w:t>
      </w:r>
      <w:r w:rsidRPr="0066492B">
        <w:rPr>
          <w:lang w:val="en-US"/>
        </w:rPr>
        <w:t>Keywords</w:t>
      </w:r>
      <w:r w:rsidRPr="0066492B">
        <w:t>:» выделяется, размер шрифта 10 пт., полужирный курсив. Ключевые слова на английском языке – размер шрифта 10 пт., курсив.</w:t>
      </w:r>
    </w:p>
    <w:p w:rsidR="004550A9" w:rsidRPr="0066492B" w:rsidRDefault="004550A9" w:rsidP="004550A9">
      <w:pPr>
        <w:ind w:firstLine="567"/>
        <w:jc w:val="both"/>
      </w:pPr>
      <w:r w:rsidRPr="0066492B">
        <w:t xml:space="preserve">Следующая строка – пустая. </w:t>
      </w:r>
    </w:p>
    <w:p w:rsidR="004550A9" w:rsidRPr="0066492B" w:rsidRDefault="004550A9" w:rsidP="004550A9">
      <w:pPr>
        <w:ind w:firstLine="567"/>
        <w:jc w:val="both"/>
      </w:pPr>
      <w:r w:rsidRPr="0066492B">
        <w:t xml:space="preserve">ТЕКСТ </w:t>
      </w:r>
      <w:r>
        <w:t>ТЕЗИСОВ</w:t>
      </w:r>
      <w:r w:rsidRPr="0066492B">
        <w:t xml:space="preserve"> должен быть структурирован по разделам. </w:t>
      </w:r>
    </w:p>
    <w:p w:rsidR="004550A9" w:rsidRPr="0066492B" w:rsidRDefault="004550A9" w:rsidP="004550A9">
      <w:pPr>
        <w:ind w:firstLine="567"/>
        <w:jc w:val="both"/>
      </w:pPr>
      <w:r>
        <w:t>Выделите</w:t>
      </w:r>
      <w:r w:rsidRPr="0066492B">
        <w:t xml:space="preserve"> следующие разделы: ВВЕДЕНИЕ, </w:t>
      </w:r>
      <w:r>
        <w:t xml:space="preserve">ЦЕЛЬ, </w:t>
      </w:r>
      <w:r w:rsidRPr="0066492B">
        <w:t xml:space="preserve">ОБЪЕКТЫ И МЕТОДЫ ИССЛЕДОВАНИЯ, РЕЗУЛЬТАТЫ, ОБСУЖДЕНИЕ, ВЫВОДЫ, ЛИТЕРАТУРА. Кроме этих (фактически обязательных) разделов, могут быть еще разделы БЛАГОДАРНОСТИ и ПРИЛОЖЕНИЯ (располагаются перед разделом ЛИТЕРАТУРА). </w:t>
      </w:r>
    </w:p>
    <w:p w:rsidR="004550A9" w:rsidRPr="0066492B" w:rsidRDefault="004550A9" w:rsidP="004550A9">
      <w:pPr>
        <w:ind w:firstLine="567"/>
        <w:jc w:val="both"/>
      </w:pPr>
      <w:r w:rsidRPr="0066492B">
        <w:lastRenderedPageBreak/>
        <w:t>Название раздела статьи пишется с прописной (заглавной) буквы и всеми остальными строчными буквами. Полужирный курсив. В конце названия раздела знак «точка»</w:t>
      </w:r>
      <w:r>
        <w:t>.</w:t>
      </w:r>
      <w:r w:rsidRPr="0066492B">
        <w:t xml:space="preserve"> ССЫЛКИ НА ЛИТЕРАТУРУ. Ссылки в тексте на цитированную работу (отсылки в соответствии с п. 7.4.1. ГОСТ 7.0.5–2008) обозначаются арабскими цифрами в квадратных скобках. Ссылки на неопубликованные работы не допускаются. </w:t>
      </w:r>
    </w:p>
    <w:p w:rsidR="004550A9" w:rsidRPr="0066492B" w:rsidRDefault="004550A9" w:rsidP="004550A9">
      <w:pPr>
        <w:ind w:firstLine="567"/>
        <w:jc w:val="both"/>
      </w:pPr>
      <w:r w:rsidRPr="0066492B">
        <w:t xml:space="preserve">ЛИТЕРАТУРА. После текста статьи вставляют пустую строку. </w:t>
      </w:r>
    </w:p>
    <w:p w:rsidR="004550A9" w:rsidRPr="0066492B" w:rsidRDefault="004550A9" w:rsidP="004550A9">
      <w:pPr>
        <w:ind w:firstLine="567"/>
        <w:jc w:val="both"/>
      </w:pPr>
      <w:r w:rsidRPr="0066492B">
        <w:t xml:space="preserve">В следующей строке приводится название раздела «Литература» – полужирный шрифт, курсив, выравнивание по центру, без абзацного отступа. </w:t>
      </w:r>
    </w:p>
    <w:p w:rsidR="004550A9" w:rsidRPr="0066492B" w:rsidRDefault="004550A9" w:rsidP="004550A9">
      <w:pPr>
        <w:ind w:firstLine="567"/>
        <w:jc w:val="both"/>
      </w:pPr>
      <w:r w:rsidRPr="0066492B">
        <w:t xml:space="preserve">Сам список литературы (затекстовые библиографические ссылки) оформляется в алфавитном порядке в соответствии с ГОСТ 7.0.5–2008 (сначала все работы на русском языке, потом – иностранные). </w:t>
      </w:r>
    </w:p>
    <w:p w:rsidR="004550A9" w:rsidRPr="0066492B" w:rsidRDefault="004550A9" w:rsidP="004550A9">
      <w:pPr>
        <w:ind w:firstLine="567"/>
        <w:jc w:val="both"/>
      </w:pPr>
      <w:r w:rsidRPr="0066492B">
        <w:t xml:space="preserve">При ссылке на статью в журнале указываются последовательно: фамилия и инициалы всех авторов; название статьи (без кавычек); после названия статьи точка не ставится, а следуют пробел и две косые черты //, после которых следует пробел и указывается название журнала (без кавычек); после названия журнала ставится точка, пробел и указываются год издания; после года издания ставится точка и пробел; далее указывают номер тома (после него – запятая и пробел); номер журнала (после него – точка и пробел); после номера журнала ставятся знак страницы С., далее через пробел указывают первую и последнюю страницы (через тире без пробелов), после них ставится точка. </w:t>
      </w:r>
    </w:p>
    <w:p w:rsidR="004550A9" w:rsidRPr="0066492B" w:rsidRDefault="004550A9" w:rsidP="004550A9">
      <w:pPr>
        <w:ind w:firstLine="567"/>
        <w:jc w:val="both"/>
      </w:pPr>
      <w:r w:rsidRPr="0066492B">
        <w:t xml:space="preserve">1. Ананова Е.Н. Флора и растительность района нижнего течения р. Камы в среднем плиоцене (по данным палинологического анализа) // Бот. журн. 1956. Т. 41, № 7. С. 976–991. </w:t>
      </w:r>
    </w:p>
    <w:p w:rsidR="004550A9" w:rsidRPr="0066492B" w:rsidRDefault="004550A9" w:rsidP="004550A9">
      <w:pPr>
        <w:ind w:firstLine="567"/>
        <w:jc w:val="both"/>
      </w:pPr>
      <w:r w:rsidRPr="0066492B">
        <w:t xml:space="preserve">При ссылке на книгу указываются последовательно фамилии и инициалы авторов, название книги (без кавычек); после названия книги ставится точка и пробел, следом указывается город издания (при этом для Москвы используется сокращение М., для Ленинграда – Л., для Санкт- Петербурга – СПб.); далее ставится двоеточие (:) и пробел, указывается название издательства (без кавычек), после него ставится запятая и пробел, указывается год издания (после него – точка и пробел); далее – количество страниц в книге, знак страницы с, после него ставится точка. </w:t>
      </w:r>
    </w:p>
    <w:p w:rsidR="004550A9" w:rsidRPr="0066492B" w:rsidRDefault="004550A9" w:rsidP="004550A9">
      <w:pPr>
        <w:ind w:firstLine="567"/>
        <w:jc w:val="both"/>
      </w:pPr>
      <w:r w:rsidRPr="0066492B">
        <w:t xml:space="preserve">Если у книги более трех авторов, то сначала указывается название книги, далее ставится пробел и одна косая черта /, после нее – пробел и слова «Под ред.» (или "Ed. by" в англоязычной ссылке), после чего следуют инициалы и фамилия редактора (редакторов), далее ставится точка, указывается город издания и т. д. </w:t>
      </w:r>
    </w:p>
    <w:p w:rsidR="004550A9" w:rsidRPr="0066492B" w:rsidRDefault="004550A9" w:rsidP="004550A9">
      <w:pPr>
        <w:ind w:firstLine="567"/>
        <w:jc w:val="both"/>
      </w:pPr>
      <w:r w:rsidRPr="0066492B">
        <w:t xml:space="preserve">1. Гроссгейм А.А. Флора Кавказа. Баку: РИН, 1940. Т. 2. 284 с. </w:t>
      </w:r>
    </w:p>
    <w:p w:rsidR="004550A9" w:rsidRPr="0066492B" w:rsidRDefault="004550A9" w:rsidP="004550A9">
      <w:pPr>
        <w:ind w:firstLine="567"/>
        <w:jc w:val="both"/>
      </w:pPr>
      <w:r w:rsidRPr="0066492B">
        <w:t xml:space="preserve">2. Определитель растений Мещеры / Под ред. В.Н. Тихомирова. М., 1986. Ч. 1. 240 с. </w:t>
      </w:r>
    </w:p>
    <w:p w:rsidR="004550A9" w:rsidRPr="0066492B" w:rsidRDefault="004550A9" w:rsidP="004550A9">
      <w:pPr>
        <w:ind w:firstLine="567"/>
        <w:jc w:val="both"/>
      </w:pPr>
      <w:r w:rsidRPr="0066492B">
        <w:t xml:space="preserve">При ссылке на статью в сборнике трудов или отдельную главу в книге указываются фамилии и инициалы авторов, далее – название статьи (главы) без кавычек, после чего ставится пробел и две косые черты //, после них - пробел и название сборника трудов (книги) без кавычек; после названия книги ставится точка и пробел, и указывается город издания; далее ставится двоеточие и пробел, указывается название издательства (без кавычек), после него ставится запятая и пробел, указывается год издания (после него – точка и пробел); указывается знак страниц (С.), далее указываются первая и последняя страницы, на которых расположена данная статья (глава), разделенные тире без пробелов, после них ставится точка. </w:t>
      </w:r>
    </w:p>
    <w:p w:rsidR="004550A9" w:rsidRPr="0066492B" w:rsidRDefault="004550A9" w:rsidP="004550A9">
      <w:pPr>
        <w:ind w:firstLine="567"/>
        <w:jc w:val="both"/>
      </w:pPr>
      <w:r w:rsidRPr="0066492B">
        <w:lastRenderedPageBreak/>
        <w:t xml:space="preserve">1. Пылаев И.Г. Некоторые особенности развития парциального куста черники и голубики // Дикорастущие ягодные растения СССР: Тез. докл. на Всесоюз. совещ. Петрозаводск, 1980. С. 139–141. </w:t>
      </w:r>
    </w:p>
    <w:p w:rsidR="004550A9" w:rsidRPr="0066492B" w:rsidRDefault="004550A9" w:rsidP="004550A9">
      <w:pPr>
        <w:ind w:firstLine="567"/>
        <w:jc w:val="both"/>
      </w:pPr>
      <w:r w:rsidRPr="0066492B">
        <w:rPr>
          <w:caps/>
        </w:rPr>
        <w:t>Таблицы, рисунки, формулы.</w:t>
      </w:r>
      <w:r w:rsidRPr="0066492B">
        <w:t xml:space="preserve"> Таблицы идут сразу после упоминания в тексте. На каждую таблицу в тексте делаются ссылки в круглых скобках (табл. 1). </w:t>
      </w:r>
    </w:p>
    <w:p w:rsidR="004550A9" w:rsidRPr="0066492B" w:rsidRDefault="004550A9" w:rsidP="004550A9">
      <w:pPr>
        <w:ind w:firstLine="567"/>
        <w:jc w:val="both"/>
      </w:pPr>
      <w:r w:rsidRPr="0066492B">
        <w:t xml:space="preserve">Слово «Таблица» пишется с новой строки. Выравнивание влево, без абзацного отступа. Если таблиц больше одной, то затем пишут ее номер. </w:t>
      </w:r>
    </w:p>
    <w:p w:rsidR="004550A9" w:rsidRPr="0066492B" w:rsidRDefault="004550A9" w:rsidP="004550A9">
      <w:pPr>
        <w:ind w:firstLine="567"/>
        <w:jc w:val="both"/>
      </w:pPr>
      <w:r w:rsidRPr="0066492B">
        <w:t xml:space="preserve">В следующей строке пишется название таблицы. Выравнивание влево, без абзацного отступа. </w:t>
      </w:r>
    </w:p>
    <w:p w:rsidR="004550A9" w:rsidRPr="0066492B" w:rsidRDefault="004550A9" w:rsidP="004550A9">
      <w:pPr>
        <w:ind w:firstLine="567"/>
        <w:jc w:val="both"/>
      </w:pPr>
      <w:r w:rsidRPr="0066492B">
        <w:t>Далее размещается тело таблицы. В теле таблицы размер шрифта может быть 9-10 пт. Нужное расположение информации должно достигаться использованием ячеек, строк, колонок, а не вставкой знака «конец строки» или знака «конец абзаца».</w:t>
      </w:r>
    </w:p>
    <w:p w:rsidR="004550A9" w:rsidRPr="0066492B" w:rsidRDefault="004550A9" w:rsidP="004550A9">
      <w:pPr>
        <w:ind w:firstLine="567"/>
        <w:jc w:val="both"/>
      </w:pPr>
      <w:r w:rsidRPr="0066492B">
        <w:t xml:space="preserve">Графики, рисунки, фотографии, идут сразу после упоминания в тексте. На каждый график, рисунок, фотографию в тексте делается ссылка в круглых скобках (рис. 1). </w:t>
      </w:r>
    </w:p>
    <w:p w:rsidR="004550A9" w:rsidRPr="0066492B" w:rsidRDefault="004550A9" w:rsidP="004550A9">
      <w:pPr>
        <w:ind w:firstLine="567"/>
        <w:jc w:val="both"/>
      </w:pPr>
      <w:r w:rsidRPr="0066492B">
        <w:t>Название графического объекта подписывается снизу, с новой строки «Рис. 1». Выравнивание влево, без абзацного отступа. Если графических объектов больше одного, то затем пишут его номер. В этой же строке начинают писать название графического объекта и пояснения к нему.</w:t>
      </w:r>
    </w:p>
    <w:p w:rsidR="004550A9" w:rsidRPr="0066492B" w:rsidRDefault="004550A9" w:rsidP="004550A9">
      <w:pPr>
        <w:ind w:firstLine="567"/>
        <w:jc w:val="both"/>
      </w:pPr>
      <w:r w:rsidRPr="0066492B">
        <w:t xml:space="preserve">В подписях к микрофотографиям следует указывать увеличение объектива, окуляра, давать расшифровку обозначений, способ окраски или обработки препаратов. </w:t>
      </w:r>
    </w:p>
    <w:p w:rsidR="004550A9" w:rsidRPr="0066492B" w:rsidRDefault="004550A9" w:rsidP="004550A9">
      <w:pPr>
        <w:ind w:firstLine="567"/>
        <w:jc w:val="both"/>
      </w:pPr>
      <w:r w:rsidRPr="0066492B">
        <w:t xml:space="preserve">Графики (диаграммы) должны быть выполнены средствами MS GRAPH (внутренний инструмент MS WORD, находится на вкладке Вставка – Иллюстрации – Диаграмма). Графики выполняют </w:t>
      </w:r>
      <w:r w:rsidRPr="0066492B">
        <w:rPr>
          <w:b/>
        </w:rPr>
        <w:t>только в черно-белом исполнении</w:t>
      </w:r>
      <w:r w:rsidRPr="0066492B">
        <w:t xml:space="preserve"> (Меню «Стили диаграмм» – Цвет – Монохромная – Цвет 11).</w:t>
      </w:r>
    </w:p>
    <w:p w:rsidR="004550A9" w:rsidRPr="0066492B" w:rsidRDefault="004550A9" w:rsidP="004550A9">
      <w:pPr>
        <w:ind w:firstLine="567"/>
        <w:jc w:val="both"/>
      </w:pPr>
      <w:r w:rsidRPr="0066492B">
        <w:t>Фотографии должны быть четкими и должны быть представлены в формате tiff, gif, jpg. Разрешение растрового рисунка должно находиться в пределах 300-600 dpi. Рисунки, фотографии, графики к статье должны быть также предоставлены в отдельном файле (название файла: «Фамилия_рис1», «Фамилия_граф3», «Фамилия_фото2»).</w:t>
      </w:r>
    </w:p>
    <w:p w:rsidR="004550A9" w:rsidRDefault="004550A9" w:rsidP="004550A9">
      <w:pPr>
        <w:ind w:firstLine="567"/>
        <w:jc w:val="both"/>
      </w:pPr>
      <w:r w:rsidRPr="0066492B">
        <w:t xml:space="preserve">Формулы создают с помощью инструмента MS WORD «Редактор формул». Формулам присваивают сквозную нумерацию. Номера формул должны быть даны справа от самой формулы в круглых скобках. </w:t>
      </w:r>
    </w:p>
    <w:p w:rsidR="004550A9" w:rsidRDefault="004550A9" w:rsidP="004550A9">
      <w:pPr>
        <w:ind w:firstLine="567"/>
        <w:jc w:val="both"/>
      </w:pPr>
    </w:p>
    <w:p w:rsidR="004550A9" w:rsidRPr="0066492B" w:rsidRDefault="004550A9" w:rsidP="004550A9">
      <w:pPr>
        <w:ind w:firstLine="567"/>
        <w:jc w:val="both"/>
      </w:pPr>
      <w:r w:rsidRPr="0066492B">
        <w:t>Пример оформления</w:t>
      </w:r>
    </w:p>
    <w:p w:rsidR="004550A9" w:rsidRPr="0066492B" w:rsidRDefault="004550A9" w:rsidP="004550A9">
      <w:pPr>
        <w:ind w:firstLine="567"/>
        <w:jc w:val="both"/>
      </w:pPr>
    </w:p>
    <w:p w:rsidR="004550A9" w:rsidRPr="0066492B" w:rsidRDefault="004550A9" w:rsidP="004550A9">
      <w:pPr>
        <w:jc w:val="both"/>
      </w:pPr>
      <w:r w:rsidRPr="0066492B">
        <w:t>УДК 616.8[-089.5-031.81]</w:t>
      </w:r>
    </w:p>
    <w:p w:rsidR="004550A9" w:rsidRPr="0066492B" w:rsidRDefault="004550A9" w:rsidP="004550A9">
      <w:pPr>
        <w:jc w:val="center"/>
        <w:rPr>
          <w:b/>
        </w:rPr>
      </w:pPr>
      <w:r>
        <w:rPr>
          <w:b/>
          <w:i/>
        </w:rPr>
        <w:t>Иванов Иван Иванович</w:t>
      </w:r>
      <w:r w:rsidRPr="0066492B">
        <w:rPr>
          <w:b/>
          <w:i/>
          <w:vertAlign w:val="superscript"/>
        </w:rPr>
        <w:t>2</w:t>
      </w:r>
      <w:r w:rsidRPr="0066492B">
        <w:rPr>
          <w:b/>
          <w:i/>
        </w:rPr>
        <w:t xml:space="preserve">, </w:t>
      </w:r>
      <w:r>
        <w:rPr>
          <w:b/>
          <w:i/>
        </w:rPr>
        <w:t>Невзоров</w:t>
      </w:r>
      <w:r w:rsidRPr="0066492B">
        <w:rPr>
          <w:b/>
          <w:i/>
        </w:rPr>
        <w:t xml:space="preserve"> Борис Борисович</w:t>
      </w:r>
      <w:r w:rsidRPr="0066492B">
        <w:rPr>
          <w:b/>
          <w:i/>
          <w:vertAlign w:val="superscript"/>
        </w:rPr>
        <w:t>1</w:t>
      </w:r>
      <w:r w:rsidRPr="0066492B">
        <w:rPr>
          <w:b/>
          <w:i/>
        </w:rPr>
        <w:t xml:space="preserve">, </w:t>
      </w:r>
      <w:r w:rsidRPr="0066492B">
        <w:rPr>
          <w:b/>
          <w:i/>
        </w:rPr>
        <w:br/>
      </w:r>
      <w:r w:rsidRPr="0066492B">
        <w:rPr>
          <w:b/>
        </w:rPr>
        <w:t>CНИЖЕНИЕ АФФЕРЕНТНОЙ ГИПЕРАКТИВНОСТИ ПРИ ОСТРОЙ ЦЕРЕБРАЛЬНОЙ НЕДОСТАТОЧНОСТИ</w:t>
      </w:r>
    </w:p>
    <w:p w:rsidR="004550A9" w:rsidRPr="0066492B" w:rsidRDefault="004550A9" w:rsidP="004550A9">
      <w:pPr>
        <w:ind w:firstLine="567"/>
        <w:jc w:val="center"/>
      </w:pPr>
    </w:p>
    <w:p w:rsidR="004550A9" w:rsidRPr="0066492B" w:rsidRDefault="004550A9" w:rsidP="004550A9">
      <w:pPr>
        <w:rPr>
          <w:i/>
        </w:rPr>
      </w:pPr>
      <w:r w:rsidRPr="0066492B">
        <w:rPr>
          <w:i/>
          <w:vertAlign w:val="superscript"/>
        </w:rPr>
        <w:t>1</w:t>
      </w:r>
      <w:r w:rsidRPr="0066492B">
        <w:rPr>
          <w:i/>
        </w:rPr>
        <w:t>БУ «Ханты-Мансийская государственная медицинская академия», г. Ханты-Мансийск</w:t>
      </w:r>
    </w:p>
    <w:p w:rsidR="004550A9" w:rsidRPr="0066492B" w:rsidRDefault="004550A9" w:rsidP="004550A9">
      <w:pPr>
        <w:rPr>
          <w:i/>
        </w:rPr>
      </w:pPr>
      <w:r w:rsidRPr="0066492B">
        <w:rPr>
          <w:i/>
          <w:vertAlign w:val="superscript"/>
        </w:rPr>
        <w:t>2</w:t>
      </w:r>
      <w:r w:rsidRPr="0066492B">
        <w:rPr>
          <w:i/>
        </w:rPr>
        <w:t>БУ «Окружная клиническая больница», г. Ханты-Мансийск</w:t>
      </w:r>
    </w:p>
    <w:p w:rsidR="004550A9" w:rsidRPr="0066492B" w:rsidRDefault="004550A9" w:rsidP="004550A9">
      <w:pPr>
        <w:ind w:firstLine="567"/>
      </w:pPr>
    </w:p>
    <w:p w:rsidR="004550A9" w:rsidRPr="0066492B" w:rsidRDefault="004550A9" w:rsidP="004550A9">
      <w:pPr>
        <w:jc w:val="center"/>
      </w:pPr>
      <w:r w:rsidRPr="0066492B">
        <w:rPr>
          <w:lang w:val="en-US"/>
        </w:rPr>
        <w:t>e</w:t>
      </w:r>
      <w:r w:rsidRPr="0066492B">
        <w:t>-</w:t>
      </w:r>
      <w:r w:rsidRPr="0066492B">
        <w:rPr>
          <w:lang w:val="en-US"/>
        </w:rPr>
        <w:t>mail</w:t>
      </w:r>
      <w:r w:rsidRPr="0066492B">
        <w:t>:</w:t>
      </w:r>
    </w:p>
    <w:p w:rsidR="004550A9" w:rsidRPr="0066492B" w:rsidRDefault="004550A9" w:rsidP="004550A9">
      <w:pPr>
        <w:ind w:firstLine="567"/>
      </w:pPr>
    </w:p>
    <w:p w:rsidR="004550A9" w:rsidRPr="0066492B" w:rsidRDefault="004550A9" w:rsidP="004550A9">
      <w:pPr>
        <w:ind w:firstLine="567"/>
        <w:jc w:val="both"/>
        <w:rPr>
          <w:i/>
        </w:rPr>
      </w:pPr>
      <w:r w:rsidRPr="0066492B">
        <w:rPr>
          <w:b/>
          <w:i/>
        </w:rPr>
        <w:t>Аннотация</w:t>
      </w:r>
      <w:r w:rsidRPr="0066492B">
        <w:rPr>
          <w:i/>
        </w:rPr>
        <w:t xml:space="preserve">. Неконтролируемая симпатическая гиперактивность, при острой церебральной недостаточности, развивается независимо от причины. Оценка нарушения </w:t>
      </w:r>
      <w:r w:rsidRPr="0066492B">
        <w:rPr>
          <w:i/>
        </w:rPr>
        <w:lastRenderedPageBreak/>
        <w:t xml:space="preserve">сознания по шкале Глазго, определение ВЧД, анализ нарушения метаболизма в головном мозге с помощью тканевого микродиализа - отношение уровня лактат / пируват, уровня глицерола и глутамата, изменение индекса Кердо, уровня гликемии и оценка терморегуляции позволяют оценивать компоненты интенсивной терапии, которая направленна на изменение симпатической гиперактивности. </w:t>
      </w:r>
    </w:p>
    <w:p w:rsidR="004550A9" w:rsidRPr="0066492B" w:rsidRDefault="004550A9" w:rsidP="004550A9">
      <w:pPr>
        <w:ind w:firstLine="567"/>
        <w:jc w:val="both"/>
      </w:pPr>
    </w:p>
    <w:p w:rsidR="004550A9" w:rsidRPr="0066492B" w:rsidRDefault="004550A9" w:rsidP="004550A9">
      <w:pPr>
        <w:ind w:firstLine="567"/>
        <w:jc w:val="both"/>
        <w:rPr>
          <w:i/>
        </w:rPr>
      </w:pPr>
      <w:r w:rsidRPr="0066492B">
        <w:rPr>
          <w:b/>
          <w:i/>
        </w:rPr>
        <w:t>Ключевые слова:</w:t>
      </w:r>
      <w:r w:rsidRPr="0066492B">
        <w:rPr>
          <w:i/>
        </w:rPr>
        <w:t xml:space="preserve"> афферентная гиперактивность, острая церебральная недостаточность</w:t>
      </w:r>
    </w:p>
    <w:p w:rsidR="004550A9" w:rsidRPr="0066492B" w:rsidRDefault="004550A9" w:rsidP="004550A9">
      <w:pPr>
        <w:ind w:firstLine="567"/>
        <w:jc w:val="both"/>
      </w:pPr>
    </w:p>
    <w:p w:rsidR="004550A9" w:rsidRPr="0066492B" w:rsidRDefault="004550A9" w:rsidP="004550A9">
      <w:pPr>
        <w:jc w:val="center"/>
        <w:rPr>
          <w:b/>
          <w:lang w:val="en-US"/>
        </w:rPr>
      </w:pPr>
      <w:r w:rsidRPr="00540348">
        <w:rPr>
          <w:b/>
          <w:i/>
          <w:lang w:val="en-US"/>
        </w:rPr>
        <w:t>Ivanov Ivan Ivanovich</w:t>
      </w:r>
      <w:r w:rsidRPr="00540348">
        <w:rPr>
          <w:b/>
          <w:i/>
          <w:vertAlign w:val="superscript"/>
          <w:lang w:val="en-US"/>
        </w:rPr>
        <w:t>2</w:t>
      </w:r>
      <w:r w:rsidRPr="00540348">
        <w:rPr>
          <w:b/>
          <w:i/>
          <w:lang w:val="en-US"/>
        </w:rPr>
        <w:t>, Nevzorov</w:t>
      </w:r>
      <w:r w:rsidRPr="0066492B">
        <w:rPr>
          <w:b/>
          <w:i/>
          <w:lang w:val="en-US"/>
        </w:rPr>
        <w:t xml:space="preserve"> Boris Borisovich</w:t>
      </w:r>
      <w:r w:rsidRPr="0066492B">
        <w:rPr>
          <w:b/>
          <w:i/>
          <w:vertAlign w:val="superscript"/>
          <w:lang w:val="en-US"/>
        </w:rPr>
        <w:t>1</w:t>
      </w:r>
      <w:r w:rsidRPr="0066492B">
        <w:rPr>
          <w:b/>
          <w:i/>
          <w:lang w:val="en-US"/>
        </w:rPr>
        <w:t xml:space="preserve">, </w:t>
      </w:r>
      <w:r w:rsidRPr="0066492B">
        <w:rPr>
          <w:b/>
          <w:i/>
          <w:lang w:val="en-US"/>
        </w:rPr>
        <w:br/>
      </w:r>
      <w:r w:rsidRPr="0066492B">
        <w:rPr>
          <w:b/>
          <w:lang w:val="en-US"/>
        </w:rPr>
        <w:t>DECREASE OF AFFERENT HYPERACTIVITY IN ACUTE CEREBRAL INSUFFICIENCY</w:t>
      </w:r>
    </w:p>
    <w:p w:rsidR="004550A9" w:rsidRPr="0066492B" w:rsidRDefault="004550A9" w:rsidP="004550A9">
      <w:pPr>
        <w:ind w:firstLine="567"/>
        <w:jc w:val="both"/>
        <w:rPr>
          <w:i/>
          <w:lang w:val="en-US"/>
        </w:rPr>
      </w:pPr>
    </w:p>
    <w:p w:rsidR="004550A9" w:rsidRPr="0066492B" w:rsidRDefault="004550A9" w:rsidP="004550A9">
      <w:pPr>
        <w:jc w:val="both"/>
        <w:rPr>
          <w:i/>
          <w:lang w:val="en-US"/>
        </w:rPr>
      </w:pPr>
      <w:r w:rsidRPr="0066492B">
        <w:rPr>
          <w:i/>
          <w:vertAlign w:val="superscript"/>
          <w:lang w:val="en-US"/>
        </w:rPr>
        <w:t>1</w:t>
      </w:r>
      <w:r w:rsidRPr="0066492B">
        <w:rPr>
          <w:i/>
          <w:lang w:val="en-US"/>
        </w:rPr>
        <w:t>Khanty-Mansiysk State Medical Academy, Khanty-Mansiysk</w:t>
      </w:r>
    </w:p>
    <w:p w:rsidR="004550A9" w:rsidRPr="0066492B" w:rsidRDefault="004550A9" w:rsidP="004550A9">
      <w:pPr>
        <w:jc w:val="both"/>
        <w:rPr>
          <w:i/>
          <w:lang w:val="en-US"/>
        </w:rPr>
      </w:pPr>
      <w:r w:rsidRPr="0066492B">
        <w:rPr>
          <w:i/>
          <w:vertAlign w:val="superscript"/>
          <w:lang w:val="en-US"/>
        </w:rPr>
        <w:t>2</w:t>
      </w:r>
      <w:r w:rsidRPr="0066492B">
        <w:rPr>
          <w:i/>
          <w:lang w:val="en-US"/>
        </w:rPr>
        <w:t>Regional Hospital of Khanty-Mansiyskautonomus District-Ugra, Khanty-Mansiysk</w:t>
      </w:r>
    </w:p>
    <w:p w:rsidR="004550A9" w:rsidRPr="0066492B" w:rsidRDefault="004550A9" w:rsidP="004550A9">
      <w:pPr>
        <w:ind w:firstLine="567"/>
        <w:jc w:val="both"/>
        <w:rPr>
          <w:lang w:val="en-US"/>
        </w:rPr>
      </w:pPr>
    </w:p>
    <w:p w:rsidR="004550A9" w:rsidRPr="0066492B" w:rsidRDefault="004550A9" w:rsidP="004550A9">
      <w:pPr>
        <w:jc w:val="both"/>
        <w:rPr>
          <w:lang w:val="en-US"/>
        </w:rPr>
      </w:pPr>
      <w:r w:rsidRPr="0066492B">
        <w:rPr>
          <w:lang w:val="en-US"/>
        </w:rPr>
        <w:t>e-mail:</w:t>
      </w:r>
    </w:p>
    <w:p w:rsidR="004550A9" w:rsidRPr="0066492B" w:rsidRDefault="004550A9" w:rsidP="004550A9">
      <w:pPr>
        <w:ind w:firstLine="567"/>
        <w:jc w:val="both"/>
        <w:rPr>
          <w:lang w:val="en-US"/>
        </w:rPr>
      </w:pPr>
    </w:p>
    <w:p w:rsidR="004550A9" w:rsidRPr="0066492B" w:rsidRDefault="004550A9" w:rsidP="004550A9">
      <w:pPr>
        <w:ind w:firstLine="567"/>
        <w:jc w:val="both"/>
        <w:rPr>
          <w:i/>
          <w:lang w:val="en-US"/>
        </w:rPr>
      </w:pPr>
      <w:r w:rsidRPr="0066492B">
        <w:rPr>
          <w:b/>
          <w:i/>
          <w:lang w:val="en-US"/>
        </w:rPr>
        <w:t>Summary</w:t>
      </w:r>
      <w:r w:rsidRPr="0066492B">
        <w:rPr>
          <w:i/>
          <w:lang w:val="en-US"/>
        </w:rPr>
        <w:t xml:space="preserve">. The uncontrollable sympathetic hyperactivity, at a sharp cerebral failure, develops irrespective of the reason. An assessment of violation of consciousness on a scale of Glasgow, ICP definition, the analysis of violation of a metabolism in a brain by means of a fabric microdialysis - the level relation of lactatum/pyruvate, level of glycerol and a glutamate, change of an index of Kerdo, level of a glycemia and an assessment of a thermoregulation allow to estimate components of an intensive care which is directed on change of a sympathetic hyperactivity. </w:t>
      </w:r>
    </w:p>
    <w:p w:rsidR="004550A9" w:rsidRPr="0066492B" w:rsidRDefault="004550A9" w:rsidP="004550A9">
      <w:pPr>
        <w:ind w:firstLine="567"/>
        <w:jc w:val="both"/>
        <w:rPr>
          <w:lang w:val="en-US"/>
        </w:rPr>
      </w:pPr>
    </w:p>
    <w:p w:rsidR="004550A9" w:rsidRPr="0066492B" w:rsidRDefault="004550A9" w:rsidP="004550A9">
      <w:pPr>
        <w:ind w:firstLine="567"/>
        <w:jc w:val="both"/>
        <w:rPr>
          <w:i/>
          <w:lang w:val="en-US"/>
        </w:rPr>
      </w:pPr>
      <w:r w:rsidRPr="0066492B">
        <w:rPr>
          <w:b/>
          <w:i/>
          <w:lang w:val="en-US"/>
        </w:rPr>
        <w:t>Keywords:</w:t>
      </w:r>
      <w:r w:rsidRPr="0066492B">
        <w:rPr>
          <w:i/>
          <w:lang w:val="en-US"/>
        </w:rPr>
        <w:t xml:space="preserve"> afferent hyperactivity, acute cerebral insufficiency</w:t>
      </w:r>
    </w:p>
    <w:p w:rsidR="004550A9" w:rsidRPr="0066492B" w:rsidRDefault="004550A9" w:rsidP="004550A9">
      <w:pPr>
        <w:ind w:firstLine="567"/>
        <w:jc w:val="both"/>
        <w:rPr>
          <w:lang w:val="en-US"/>
        </w:rPr>
      </w:pPr>
    </w:p>
    <w:p w:rsidR="004550A9" w:rsidRPr="0066492B" w:rsidRDefault="004550A9" w:rsidP="004550A9">
      <w:pPr>
        <w:ind w:firstLine="567"/>
        <w:jc w:val="both"/>
      </w:pPr>
      <w:r w:rsidRPr="0066492B">
        <w:rPr>
          <w:b/>
          <w:i/>
        </w:rPr>
        <w:t>Введение</w:t>
      </w:r>
      <w:r>
        <w:rPr>
          <w:b/>
          <w:i/>
        </w:rPr>
        <w:t xml:space="preserve">. </w:t>
      </w:r>
      <w:r w:rsidRPr="0066492B">
        <w:t xml:space="preserve">В России, ежегодно 450000 человек переносят инсульт, ежегодно регистрируется свыше 90000 пострадавших с черепно-мозговой травмой, из них, с тяжелой до 34%. Последствия перенесенного инсульта распределяются следующим образом – до 84-87% больных умирают или получают инвалидность, 10-13% больных выздоравливают [1, 5]. Последствия тяжелой черепно-мозговой травмы (ТЧМТ) – в 35-70% наблюдается инвалидизация, летальность составляет 6-8,5%. Учитывая общепринятые классификации [6], повреждения головного мозга травматического и нетравматического генеза, разделяют на первичные и вторичные. К первичным повреждениям относятся ушибы, размозжения вещества мозга, внутричерепные кровоизлияния, перелом костей черепа, повреждение черепных нервов. При первичном поражении гибель нейронов необратима. Вторичное повреждение аксонов связано с метаболическими и сосудистыми нарушениями, приводящими к нарушениям локального гомеостаза и, в конечном счете, к гибели нейронов, сохранившихся в момент первичного повреждения. </w:t>
      </w:r>
    </w:p>
    <w:p w:rsidR="004550A9" w:rsidRPr="0066492B" w:rsidRDefault="004550A9" w:rsidP="004550A9">
      <w:pPr>
        <w:ind w:firstLine="567"/>
        <w:jc w:val="both"/>
      </w:pPr>
      <w:r w:rsidRPr="0066492B">
        <w:rPr>
          <w:b/>
          <w:i/>
        </w:rPr>
        <w:t>Объекты и методы исследования</w:t>
      </w:r>
      <w:r>
        <w:rPr>
          <w:b/>
          <w:i/>
        </w:rPr>
        <w:t xml:space="preserve">. </w:t>
      </w:r>
      <w:r w:rsidRPr="0066492B">
        <w:t xml:space="preserve">Проведен ретро- и проспективный (2011 г.) анализ 14 пациентов в возрасте от 23 до 63 лет, которым проводилась интенсивная терапия в отделении анестезиологии и реанимации Окружной клинической больницы г. Ханты-Мансийска. Тяжелые формы инсультов составили 50% из них 6 больных (42,9%) с инсультом по геморрагическому типу и 1 больной (7,1%) с инсультом по ишемическому типу), больные с ТЧМТ составили 50% (7 больных). Критерием включения больных в </w:t>
      </w:r>
      <w:r w:rsidRPr="0066492B">
        <w:lastRenderedPageBreak/>
        <w:t xml:space="preserve">данное исследование являлось наличие: изолированной ТЧМТ; геморрагического или ишемического инсульта (ГИ), (ИИ), последнего в стадии клинической субкомпенсации или декомпенсации, с оценкой по шкале Глазго в баллах [6]. </w:t>
      </w:r>
    </w:p>
    <w:p w:rsidR="004550A9" w:rsidRPr="0066492B" w:rsidRDefault="004550A9" w:rsidP="004550A9">
      <w:pPr>
        <w:ind w:firstLine="567"/>
        <w:jc w:val="both"/>
      </w:pPr>
      <w:r w:rsidRPr="0066492B">
        <w:rPr>
          <w:b/>
          <w:i/>
        </w:rPr>
        <w:t>Результаты и обсуждение</w:t>
      </w:r>
      <w:r>
        <w:rPr>
          <w:b/>
          <w:i/>
        </w:rPr>
        <w:t xml:space="preserve">. </w:t>
      </w:r>
      <w:r w:rsidRPr="0066492B">
        <w:t xml:space="preserve">Выбор компонентов интенсивной терапии в отделении анестезиологии и реанимации начиналось с нейровизуализации (оценка данных компьютерной томографии (КТ), магнитно-резонансной томографии (МРТ)). При отсутствии патологического процесса в центральной нервной системе парасимпатическая система компенсирует или ингибирует симпатические реакции, возвращая организм к нормальному функционированию всех систем гомеостаза, что согласуется с литературными данными [3] и выявлена нами благодаря анализируемым показателям в контрольной группе. Данные нейромониторинга и уровня контроля вегетативных функций при проведении лечения нейровегетативной стабилизации в I группе больных выявило оценку по шкале Глазго 12 баллов (благоприятный прогноз – 15, неблагоприятный прогноз – 3). </w:t>
      </w:r>
    </w:p>
    <w:p w:rsidR="004550A9" w:rsidRDefault="004550A9" w:rsidP="004550A9">
      <w:pPr>
        <w:jc w:val="both"/>
      </w:pPr>
    </w:p>
    <w:p w:rsidR="004550A9" w:rsidRPr="0066492B" w:rsidRDefault="004550A9" w:rsidP="004550A9">
      <w:pPr>
        <w:jc w:val="both"/>
      </w:pPr>
      <w:r w:rsidRPr="0066492B">
        <w:t>Таблица</w:t>
      </w:r>
    </w:p>
    <w:p w:rsidR="004550A9" w:rsidRPr="0066492B" w:rsidRDefault="004550A9" w:rsidP="004550A9">
      <w:pPr>
        <w:jc w:val="both"/>
      </w:pPr>
      <w:r w:rsidRPr="0066492B">
        <w:t>Название таблицы</w:t>
      </w:r>
    </w:p>
    <w:tbl>
      <w:tblPr>
        <w:tblStyle w:val="a3"/>
        <w:tblW w:w="0" w:type="auto"/>
        <w:tblLook w:val="04A0" w:firstRow="1" w:lastRow="0" w:firstColumn="1" w:lastColumn="0" w:noHBand="0" w:noVBand="1"/>
      </w:tblPr>
      <w:tblGrid>
        <w:gridCol w:w="1869"/>
        <w:gridCol w:w="1869"/>
        <w:gridCol w:w="1869"/>
        <w:gridCol w:w="1869"/>
        <w:gridCol w:w="1869"/>
      </w:tblGrid>
      <w:tr w:rsidR="004550A9" w:rsidRPr="0066492B" w:rsidTr="00762CFD">
        <w:tc>
          <w:tcPr>
            <w:tcW w:w="1869" w:type="dxa"/>
          </w:tcPr>
          <w:p w:rsidR="004550A9" w:rsidRPr="0066492B" w:rsidRDefault="004550A9" w:rsidP="00762CFD">
            <w:pPr>
              <w:jc w:val="center"/>
            </w:pPr>
            <w:r w:rsidRPr="0066492B">
              <w:t>Заголовок столбца 1</w:t>
            </w:r>
          </w:p>
        </w:tc>
        <w:tc>
          <w:tcPr>
            <w:tcW w:w="1869" w:type="dxa"/>
          </w:tcPr>
          <w:p w:rsidR="004550A9" w:rsidRPr="0066492B" w:rsidRDefault="004550A9" w:rsidP="00762CFD">
            <w:pPr>
              <w:jc w:val="center"/>
            </w:pPr>
            <w:r w:rsidRPr="0066492B">
              <w:t>Заголовок столбца 2</w:t>
            </w:r>
          </w:p>
        </w:tc>
        <w:tc>
          <w:tcPr>
            <w:tcW w:w="1869" w:type="dxa"/>
          </w:tcPr>
          <w:p w:rsidR="004550A9" w:rsidRPr="0066492B" w:rsidRDefault="004550A9" w:rsidP="00762CFD">
            <w:pPr>
              <w:jc w:val="center"/>
            </w:pPr>
            <w:r w:rsidRPr="0066492B">
              <w:t>Заголовок столбца 3</w:t>
            </w:r>
          </w:p>
        </w:tc>
        <w:tc>
          <w:tcPr>
            <w:tcW w:w="1869" w:type="dxa"/>
          </w:tcPr>
          <w:p w:rsidR="004550A9" w:rsidRPr="0066492B" w:rsidRDefault="004550A9" w:rsidP="00762CFD">
            <w:pPr>
              <w:jc w:val="center"/>
            </w:pPr>
            <w:r w:rsidRPr="0066492B">
              <w:t>Заголовок столбца 4</w:t>
            </w:r>
          </w:p>
        </w:tc>
        <w:tc>
          <w:tcPr>
            <w:tcW w:w="1869" w:type="dxa"/>
          </w:tcPr>
          <w:p w:rsidR="004550A9" w:rsidRPr="0066492B" w:rsidRDefault="004550A9" w:rsidP="00762CFD">
            <w:pPr>
              <w:jc w:val="center"/>
            </w:pPr>
            <w:r w:rsidRPr="0066492B">
              <w:t>Заголовок столбца 5</w:t>
            </w:r>
          </w:p>
        </w:tc>
      </w:tr>
      <w:tr w:rsidR="004550A9" w:rsidRPr="0066492B" w:rsidTr="00762CFD">
        <w:tc>
          <w:tcPr>
            <w:tcW w:w="1869" w:type="dxa"/>
          </w:tcPr>
          <w:p w:rsidR="004550A9" w:rsidRPr="0066492B" w:rsidRDefault="004550A9" w:rsidP="00762CFD">
            <w:pPr>
              <w:jc w:val="both"/>
            </w:pPr>
            <w:r w:rsidRPr="0066492B">
              <w:t>Заголовок строки 1</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r>
      <w:tr w:rsidR="004550A9" w:rsidRPr="0066492B" w:rsidTr="00762CFD">
        <w:tc>
          <w:tcPr>
            <w:tcW w:w="1869" w:type="dxa"/>
          </w:tcPr>
          <w:p w:rsidR="004550A9" w:rsidRPr="0066492B" w:rsidRDefault="004550A9" w:rsidP="00762CFD">
            <w:pPr>
              <w:jc w:val="both"/>
            </w:pPr>
            <w:r w:rsidRPr="0066492B">
              <w:t>Заголовок строки 2</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r>
      <w:tr w:rsidR="004550A9" w:rsidRPr="0066492B" w:rsidTr="00762CFD">
        <w:tc>
          <w:tcPr>
            <w:tcW w:w="1869" w:type="dxa"/>
          </w:tcPr>
          <w:p w:rsidR="004550A9" w:rsidRPr="0066492B" w:rsidRDefault="004550A9" w:rsidP="00762CFD">
            <w:pPr>
              <w:jc w:val="both"/>
            </w:pPr>
            <w:r w:rsidRPr="0066492B">
              <w:t>Заголовок строки 3</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c>
          <w:tcPr>
            <w:tcW w:w="1869" w:type="dxa"/>
          </w:tcPr>
          <w:p w:rsidR="004550A9" w:rsidRPr="0066492B" w:rsidRDefault="004550A9" w:rsidP="00762CFD">
            <w:pPr>
              <w:jc w:val="center"/>
            </w:pPr>
            <w:r w:rsidRPr="0066492B">
              <w:t>х</w:t>
            </w:r>
          </w:p>
        </w:tc>
      </w:tr>
    </w:tbl>
    <w:p w:rsidR="004550A9" w:rsidRPr="0066492B" w:rsidRDefault="004550A9" w:rsidP="004550A9">
      <w:pPr>
        <w:jc w:val="both"/>
      </w:pPr>
    </w:p>
    <w:p w:rsidR="004550A9" w:rsidRPr="0066492B" w:rsidRDefault="004550A9" w:rsidP="004550A9">
      <w:pPr>
        <w:jc w:val="both"/>
      </w:pPr>
      <w:r w:rsidRPr="0066492B">
        <w:rPr>
          <w:noProof/>
          <w:lang w:val="en-US" w:eastAsia="en-US"/>
        </w:rPr>
        <w:drawing>
          <wp:inline distT="0" distB="0" distL="0" distR="0" wp14:anchorId="4E6BD1DA" wp14:editId="195E6E24">
            <wp:extent cx="3928997" cy="1849677"/>
            <wp:effectExtent l="0" t="0" r="1460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550A9" w:rsidRPr="0066492B" w:rsidRDefault="004550A9" w:rsidP="004550A9">
      <w:pPr>
        <w:jc w:val="both"/>
      </w:pPr>
      <w:r w:rsidRPr="0066492B">
        <w:t>Рис. Название рисунка (графика, диаграммы)</w:t>
      </w:r>
    </w:p>
    <w:p w:rsidR="004550A9" w:rsidRPr="0066492B" w:rsidRDefault="004550A9" w:rsidP="004550A9">
      <w:pPr>
        <w:ind w:firstLine="567"/>
        <w:jc w:val="both"/>
      </w:pPr>
    </w:p>
    <w:p w:rsidR="004550A9" w:rsidRPr="0066492B" w:rsidRDefault="004550A9" w:rsidP="004550A9">
      <w:pPr>
        <w:ind w:firstLine="567"/>
        <w:jc w:val="both"/>
        <w:rPr>
          <w:b/>
          <w:i/>
        </w:rPr>
      </w:pPr>
      <w:r w:rsidRPr="0066492B">
        <w:rPr>
          <w:b/>
          <w:i/>
        </w:rPr>
        <w:t>Выводы</w:t>
      </w:r>
    </w:p>
    <w:p w:rsidR="004550A9" w:rsidRPr="0066492B" w:rsidRDefault="004550A9" w:rsidP="004550A9">
      <w:pPr>
        <w:ind w:firstLine="567"/>
        <w:jc w:val="both"/>
      </w:pPr>
      <w:r w:rsidRPr="0066492B">
        <w:t xml:space="preserve">1. …….. </w:t>
      </w:r>
    </w:p>
    <w:p w:rsidR="004550A9" w:rsidRPr="0066492B" w:rsidRDefault="004550A9" w:rsidP="004550A9">
      <w:pPr>
        <w:ind w:firstLine="567"/>
        <w:jc w:val="both"/>
      </w:pPr>
      <w:r w:rsidRPr="0066492B">
        <w:t xml:space="preserve">2. …….. </w:t>
      </w:r>
    </w:p>
    <w:p w:rsidR="004550A9" w:rsidRPr="0066492B" w:rsidRDefault="004550A9" w:rsidP="004550A9">
      <w:pPr>
        <w:ind w:firstLine="567"/>
        <w:jc w:val="both"/>
      </w:pPr>
      <w:r w:rsidRPr="0066492B">
        <w:t xml:space="preserve">3. …….. </w:t>
      </w:r>
    </w:p>
    <w:p w:rsidR="004550A9" w:rsidRPr="0066492B" w:rsidRDefault="004550A9" w:rsidP="004550A9">
      <w:pPr>
        <w:ind w:firstLine="567"/>
        <w:jc w:val="both"/>
      </w:pPr>
    </w:p>
    <w:p w:rsidR="004550A9" w:rsidRPr="0066492B" w:rsidRDefault="004550A9" w:rsidP="004550A9">
      <w:pPr>
        <w:jc w:val="center"/>
        <w:rPr>
          <w:b/>
          <w:i/>
        </w:rPr>
      </w:pPr>
      <w:r w:rsidRPr="0066492B">
        <w:rPr>
          <w:b/>
          <w:i/>
        </w:rPr>
        <w:t>Литература</w:t>
      </w:r>
    </w:p>
    <w:p w:rsidR="004550A9" w:rsidRPr="0066492B" w:rsidRDefault="004550A9" w:rsidP="004550A9">
      <w:pPr>
        <w:ind w:firstLine="567"/>
        <w:jc w:val="center"/>
      </w:pPr>
    </w:p>
    <w:p w:rsidR="004550A9" w:rsidRPr="0066492B" w:rsidRDefault="004550A9" w:rsidP="004550A9">
      <w:pPr>
        <w:ind w:firstLine="567"/>
        <w:jc w:val="both"/>
      </w:pPr>
      <w:r w:rsidRPr="0066492B">
        <w:lastRenderedPageBreak/>
        <w:t>1. Амчеславский В.Г., Тома Г.И. Принципы интенсивной терапии при острых субарахноидальных кровоизлияниях нетравматической этиологии // Российский журнал анестезиологии и интенсивной терапии. 1999. № 1. С. 77-82.</w:t>
      </w:r>
    </w:p>
    <w:p w:rsidR="004550A9" w:rsidRPr="0066492B" w:rsidRDefault="004550A9" w:rsidP="004550A9">
      <w:pPr>
        <w:ind w:firstLine="567"/>
        <w:jc w:val="both"/>
      </w:pPr>
      <w:r w:rsidRPr="0066492B">
        <w:t>2. Башкиров М.В., Шахнович А.Р., Лубнин А.Ю. Внутричерепное давление и внутричерепная гипертензия // Российский журнал анестезиологии и интенсивной терапии. 1999. № 1. С. 4-11.</w:t>
      </w:r>
    </w:p>
    <w:p w:rsidR="004550A9" w:rsidRPr="0066492B" w:rsidRDefault="004550A9" w:rsidP="004550A9">
      <w:pPr>
        <w:ind w:firstLine="567"/>
        <w:jc w:val="both"/>
      </w:pPr>
      <w:r w:rsidRPr="0066492B">
        <w:t xml:space="preserve">3. Гусейнова Х.Т., Петриков С.С. Мониторинг внутричерепного давления у больных с внутричерепными кровоизлияниями // Неврологический журнал. 2011. № 6. С. 4-9. </w:t>
      </w:r>
    </w:p>
    <w:p w:rsidR="004550A9" w:rsidRPr="0066492B" w:rsidRDefault="004550A9" w:rsidP="004550A9">
      <w:pPr>
        <w:ind w:firstLine="567"/>
        <w:jc w:val="both"/>
      </w:pPr>
      <w:r w:rsidRPr="0066492B">
        <w:t xml:space="preserve">4. Парфенов В.А., Рагимов С.К. Транзиторные ишемические атаки // Российский </w:t>
      </w:r>
    </w:p>
    <w:p w:rsidR="004550A9" w:rsidRPr="0066492B" w:rsidRDefault="004550A9" w:rsidP="004550A9">
      <w:pPr>
        <w:ind w:firstLine="567"/>
        <w:jc w:val="both"/>
      </w:pPr>
      <w:r w:rsidRPr="0066492B">
        <w:t xml:space="preserve">8. Машковский М.Д. Лекарственные средства. М.: Новая волна, 2000. С. 55-57. </w:t>
      </w:r>
    </w:p>
    <w:p w:rsidR="004550A9" w:rsidRPr="0066492B" w:rsidRDefault="004550A9" w:rsidP="004550A9">
      <w:pPr>
        <w:ind w:firstLine="567"/>
        <w:jc w:val="both"/>
        <w:rPr>
          <w:lang w:val="en-US"/>
        </w:rPr>
      </w:pPr>
      <w:r w:rsidRPr="0066492B">
        <w:t>9. Рекова Л.П., Дмитриева А.А. Индекс Кердо как характеристика реакции на стрессовую ситуацию у хирургических стоматологических больных // Вопросы эксперим. и клинич. стоматол.: Сб. науч. тр. Вып</w:t>
      </w:r>
      <w:r w:rsidRPr="0066492B">
        <w:rPr>
          <w:lang w:val="en-US"/>
        </w:rPr>
        <w:t xml:space="preserve">. 8. </w:t>
      </w:r>
      <w:r w:rsidRPr="0066492B">
        <w:t>Харьков</w:t>
      </w:r>
      <w:r w:rsidRPr="0066492B">
        <w:rPr>
          <w:lang w:val="en-US"/>
        </w:rPr>
        <w:t xml:space="preserve">: </w:t>
      </w:r>
      <w:r w:rsidRPr="0066492B">
        <w:t>ХГМУ</w:t>
      </w:r>
      <w:r w:rsidRPr="0066492B">
        <w:rPr>
          <w:lang w:val="en-US"/>
        </w:rPr>
        <w:t xml:space="preserve">, 2004. </w:t>
      </w:r>
      <w:r w:rsidRPr="0066492B">
        <w:t>С</w:t>
      </w:r>
      <w:r w:rsidRPr="0066492B">
        <w:rPr>
          <w:lang w:val="en-US"/>
        </w:rPr>
        <w:t>. 133-134.</w:t>
      </w:r>
    </w:p>
    <w:p w:rsidR="004550A9" w:rsidRPr="0066492B" w:rsidRDefault="004550A9" w:rsidP="004550A9">
      <w:pPr>
        <w:ind w:firstLine="567"/>
        <w:jc w:val="both"/>
        <w:rPr>
          <w:lang w:val="en-US"/>
        </w:rPr>
      </w:pPr>
      <w:r w:rsidRPr="0066492B">
        <w:rPr>
          <w:lang w:val="en-US"/>
        </w:rPr>
        <w:t>10. Bito L., Davson H., Levin E., Murray M., Snider N. The concentrations of free amino acids and other electrolytes in cerebrospinal fluid, in vivo dialysate of brain, and blood plasma of the dog // J. Neurochem. 1966. V. 13, № 11. P. 1057-1067.</w:t>
      </w:r>
    </w:p>
    <w:p w:rsidR="004550A9" w:rsidRPr="00FE1B47" w:rsidRDefault="004550A9" w:rsidP="004550A9">
      <w:pPr>
        <w:ind w:firstLine="567"/>
        <w:jc w:val="both"/>
      </w:pPr>
      <w:r w:rsidRPr="0066492B">
        <w:rPr>
          <w:lang w:val="en-US"/>
        </w:rPr>
        <w:t xml:space="preserve">11. Kérdö I. EinausDaten der Blutzirkulationkalkulierter Index zurBeurteilung der vegetativenTonuslage // Actaneurovegetativa. </w:t>
      </w:r>
      <w:r w:rsidRPr="00FE1B47">
        <w:t xml:space="preserve">1966. </w:t>
      </w:r>
      <w:r w:rsidRPr="0066492B">
        <w:rPr>
          <w:lang w:val="en-US"/>
        </w:rPr>
        <w:t>Bd</w:t>
      </w:r>
      <w:r w:rsidRPr="00FE1B47">
        <w:t xml:space="preserve">. 29, № 2. </w:t>
      </w:r>
      <w:r w:rsidRPr="0066492B">
        <w:rPr>
          <w:lang w:val="en-US"/>
        </w:rPr>
        <w:t>S</w:t>
      </w:r>
      <w:r w:rsidRPr="00FE1B47">
        <w:t>. 250-268.</w:t>
      </w:r>
    </w:p>
    <w:p w:rsidR="004550A9" w:rsidRDefault="004550A9" w:rsidP="004550A9">
      <w:r w:rsidRPr="00FE1B47">
        <w:br w:type="page"/>
      </w:r>
    </w:p>
    <w:p w:rsidR="008B77F8" w:rsidRDefault="008B77F8">
      <w:bookmarkStart w:id="0" w:name="_GoBack"/>
      <w:bookmarkEnd w:id="0"/>
    </w:p>
    <w:sectPr w:rsidR="008B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E8"/>
    <w:rsid w:val="000138E8"/>
    <w:rsid w:val="004550A9"/>
    <w:rsid w:val="008B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6C537-6553-4567-B8B1-0C2C07A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A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50A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550A9"/>
    <w:rPr>
      <w:color w:val="0000FF"/>
      <w:u w:val="single"/>
    </w:rPr>
  </w:style>
  <w:style w:type="paragraph" w:styleId="a5">
    <w:name w:val="Normal (Web)"/>
    <w:basedOn w:val="a"/>
    <w:rsid w:val="004550A9"/>
    <w:pPr>
      <w:spacing w:before="129" w:after="129"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http://elibrary.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Лист1!$B$1</c:f>
              <c:strCache>
                <c:ptCount val="1"/>
                <c:pt idx="0">
                  <c:v>Заголовок диаграммы</c:v>
                </c:pt>
              </c:strCache>
            </c:strRef>
          </c:tx>
          <c:dPt>
            <c:idx val="0"/>
            <c:bubble3D val="0"/>
            <c:spPr>
              <a:solidFill>
                <a:schemeClr val="dk1">
                  <a:tint val="8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370C-4E4A-BE41-CCE9D04A84C9}"/>
              </c:ext>
            </c:extLst>
          </c:dPt>
          <c:dPt>
            <c:idx val="1"/>
            <c:bubble3D val="0"/>
            <c:spPr>
              <a:solidFill>
                <a:schemeClr val="dk1">
                  <a:tint val="5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370C-4E4A-BE41-CCE9D04A84C9}"/>
              </c:ext>
            </c:extLst>
          </c:dPt>
          <c:dPt>
            <c:idx val="2"/>
            <c:bubble3D val="0"/>
            <c:spPr>
              <a:solidFill>
                <a:schemeClr val="dk1">
                  <a:tint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370C-4E4A-BE41-CCE9D04A84C9}"/>
              </c:ext>
            </c:extLst>
          </c:dPt>
          <c:dPt>
            <c:idx val="3"/>
            <c:bubble3D val="0"/>
            <c:spPr>
              <a:solidFill>
                <a:schemeClr val="dk1">
                  <a:tint val="985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70C-4E4A-BE41-CCE9D04A84C9}"/>
              </c:ext>
            </c:extLst>
          </c:dPt>
          <c:cat>
            <c:strRef>
              <c:f>Лист1!$A$2:$A$5</c:f>
              <c:strCache>
                <c:ptCount val="4"/>
                <c:pt idx="0">
                  <c:v>Группа 1</c:v>
                </c:pt>
                <c:pt idx="1">
                  <c:v>Группа 2</c:v>
                </c:pt>
                <c:pt idx="2">
                  <c:v>Группа 3</c:v>
                </c:pt>
                <c:pt idx="3">
                  <c:v>Группа 4</c:v>
                </c:pt>
              </c:strCache>
            </c:strRef>
          </c:cat>
          <c:val>
            <c:numRef>
              <c:f>Лист1!$B$2:$B$5</c:f>
              <c:numCache>
                <c:formatCode>General</c:formatCode>
                <c:ptCount val="4"/>
                <c:pt idx="0">
                  <c:v>8.2000000000000011</c:v>
                </c:pt>
                <c:pt idx="1">
                  <c:v>3.2</c:v>
                </c:pt>
                <c:pt idx="2">
                  <c:v>1.4</c:v>
                </c:pt>
                <c:pt idx="3">
                  <c:v>1</c:v>
                </c:pt>
              </c:numCache>
            </c:numRef>
          </c:val>
          <c:extLst xmlns:c16r2="http://schemas.microsoft.com/office/drawing/2015/06/chart">
            <c:ext xmlns:c16="http://schemas.microsoft.com/office/drawing/2014/chart" uri="{C3380CC4-5D6E-409C-BE32-E72D297353CC}">
              <c16:uniqueId val="{00000008-370C-4E4A-BE41-CCE9D04A84C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14222</Characters>
  <Application>Microsoft Office Word</Application>
  <DocSecurity>0</DocSecurity>
  <Lines>118</Lines>
  <Paragraphs>33</Paragraphs>
  <ScaleCrop>false</ScaleCrop>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Мариана</dc:creator>
  <cp:keywords/>
  <dc:description/>
  <cp:lastModifiedBy>Мариана Мариана</cp:lastModifiedBy>
  <cp:revision>2</cp:revision>
  <dcterms:created xsi:type="dcterms:W3CDTF">2024-04-12T08:11:00Z</dcterms:created>
  <dcterms:modified xsi:type="dcterms:W3CDTF">2024-04-12T08:11:00Z</dcterms:modified>
</cp:coreProperties>
</file>